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pacing w:val="60"/>
          <w:sz w:val="100"/>
          <w:szCs w:val="100"/>
          <w:highlight w:val="none"/>
        </w:rPr>
      </w:pPr>
      <w:r>
        <w:rPr>
          <w:rFonts w:ascii="宋体" w:hAnsi="宋体" w:cs="宋体"/>
          <w:b/>
          <w:bCs/>
          <w:color w:val="auto"/>
          <w:spacing w:val="60"/>
          <w:sz w:val="100"/>
          <w:szCs w:val="100"/>
          <w:highlight w:val="none"/>
        </w:rPr>
      </w:r>
      <w:r/>
    </w:p>
    <w:p>
      <w:pPr>
        <w:pStyle w:val="963"/>
        <w:rPr>
          <w:color w:val="auto"/>
          <w:highlight w:val="none"/>
        </w:rPr>
      </w:pPr>
      <w:r>
        <w:rPr>
          <w:color w:val="auto"/>
          <w:highlight w:val="none"/>
        </w:rPr>
      </w:r>
      <w:r/>
    </w:p>
    <w:p>
      <w:pPr>
        <w:jc w:val="center"/>
        <w:rPr>
          <w:rFonts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highlight w:val="none"/>
        </w:rPr>
      </w:pPr>
      <w:r>
        <w:rPr>
          <w:rFonts w:ascii="宋体" w:hAnsi="宋体" w:cs="宋体"/>
          <w:color w:val="auto"/>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jc w:val="both"/>
        <w:spacing w:line="480" w:lineRule="auto"/>
        <w:rPr>
          <w:rFonts w:ascii="宋体" w:hAnsi="宋体" w:cs="宋体"/>
          <w:color w:val="auto"/>
          <w:sz w:val="30"/>
          <w:highlight w:val="none"/>
        </w:rPr>
      </w:pPr>
      <w:r>
        <w:rPr>
          <w:rFonts w:ascii="宋体" w:hAnsi="宋体" w:cs="宋体"/>
          <w:color w:val="auto"/>
          <w:sz w:val="30"/>
          <w:highlight w:val="none"/>
        </w:rPr>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JSZC-320585-SZTZ-G2026-0009</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环卫所车辆维修服务</w:t>
      </w:r>
      <w:r/>
    </w:p>
    <w:p>
      <w:pPr>
        <w:ind w:left="480"/>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采购类型：服务类 (专门面向中小企业采购)</w:t>
      </w:r>
      <w:r/>
    </w:p>
    <w:p>
      <w:pPr>
        <w:ind w:left="480"/>
        <w:spacing w:line="360" w:lineRule="auto"/>
        <w:rPr>
          <w:rFonts w:hint="eastAsia" w:ascii="宋体" w:hAnsi="宋体" w:eastAsia="宋体" w:cs="宋体"/>
          <w:color w:val="auto"/>
          <w:sz w:val="30"/>
          <w:highlight w:val="none"/>
          <w:lang w:eastAsia="zh-CN"/>
        </w:rPr>
      </w:pPr>
      <w:r>
        <w:rPr>
          <w:rFonts w:hint="eastAsia" w:ascii="宋体" w:hAnsi="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（十六）其他未列明行业</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太仓市浮桥镇人民政府</w:t>
      </w:r>
      <w:r/>
    </w:p>
    <w:p>
      <w:pPr>
        <w:ind w:left="480" w:right="-159"/>
        <w:spacing w:line="480" w:lineRule="auto"/>
        <w:rPr>
          <w:rFonts w:ascii="宋体" w:hAnsi="宋体" w:cs="宋体"/>
          <w:color w:val="auto"/>
          <w:sz w:val="30"/>
          <w:highlight w:val="none"/>
        </w:rPr>
      </w:pPr>
      <w:r>
        <w:rPr>
          <w:rFonts w:hint="eastAsia" w:ascii="宋体" w:hAnsi="宋体" w:cs="宋体"/>
          <w:b/>
          <w:color w:val="auto"/>
          <w:sz w:val="30"/>
          <w:szCs w:val="30"/>
          <w:highlight w:val="none"/>
        </w:rPr>
        <w:t xml:space="preserve">招标代理单位：苏州泰至鑫项目管理有限公司</w:t>
      </w:r>
      <w:r/>
    </w:p>
    <w:p>
      <w:pPr>
        <w:ind w:left="480" w:right="-159"/>
        <w:spacing w:line="480" w:lineRule="auto"/>
        <w:rPr>
          <w:rFonts w:cs="宋体"/>
          <w:b/>
          <w:color w:val="auto"/>
          <w:sz w:val="30"/>
          <w:szCs w:val="30"/>
          <w:highlight w:val="none"/>
        </w:rPr>
      </w:pPr>
      <w:r>
        <w:rPr>
          <w:rFonts w:cs="宋体"/>
          <w:b/>
          <w:color w:val="auto"/>
          <w:sz w:val="30"/>
          <w:szCs w:val="30"/>
          <w:highlight w:val="none"/>
        </w:rPr>
      </w:r>
      <w:r/>
    </w:p>
    <w:p>
      <w:pPr>
        <w:ind w:firstLine="600"/>
        <w:rPr>
          <w:rFonts w:ascii="宋体" w:hAnsi="宋体" w:cs="宋体"/>
          <w:color w:val="auto"/>
          <w:sz w:val="30"/>
          <w:highlight w:val="none"/>
        </w:rPr>
      </w:pPr>
      <w:r>
        <w:rPr>
          <w:rFonts w:ascii="宋体" w:hAnsi="宋体" w:cs="宋体"/>
          <w:color w:val="auto"/>
          <w:sz w:val="30"/>
          <w:highlight w:val="none"/>
        </w:rPr>
      </w:r>
      <w:r/>
    </w:p>
    <w:p>
      <w:pPr>
        <w:jc w:val="center"/>
        <w:spacing w:line="300" w:lineRule="auto"/>
        <w:rPr>
          <w:rFonts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六</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五</w:t>
      </w:r>
      <w:r>
        <w:rPr>
          <w:rFonts w:hint="eastAsia" w:cs="宋体"/>
          <w:b/>
          <w:color w:val="auto"/>
          <w:sz w:val="30"/>
          <w:szCs w:val="30"/>
          <w:highlight w:val="none"/>
        </w:rPr>
        <w:t xml:space="preserve">月</w:t>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ascii="宋体" w:hAnsi="宋体" w:cs="宋体"/>
          <w:b/>
          <w:bCs/>
          <w:color w:val="auto"/>
          <w:sz w:val="44"/>
          <w:szCs w:val="44"/>
          <w:highlight w:val="none"/>
        </w:rPr>
      </w:r>
      <w:r/>
    </w:p>
    <w:p>
      <w:pPr>
        <w:jc w:val="center"/>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ascii="宋体" w:hAnsi="宋体" w:cs="宋体"/>
          <w:b/>
          <w:bCs/>
          <w:color w:val="auto"/>
          <w:spacing w:val="20"/>
          <w:sz w:val="30"/>
          <w:highlight w:val="none"/>
        </w:rPr>
      </w:pPr>
      <w:r>
        <w:rPr>
          <w:rFonts w:ascii="宋体" w:hAnsi="宋体" w:cs="宋体"/>
          <w:b/>
          <w:bCs/>
          <w:color w:val="auto"/>
          <w:spacing w:val="20"/>
          <w:sz w:val="30"/>
          <w:highlight w:val="none"/>
        </w:rPr>
      </w:r>
      <w:r/>
    </w:p>
    <w:p>
      <w:pPr>
        <w:pStyle w:val="972"/>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color w:val="auto"/>
          <w:highlight w:val="none"/>
        </w:rPr>
        <w:fldChar w:fldCharType="begin"/>
      </w:r>
      <w:r>
        <w:rPr>
          <w:color w:val="auto"/>
          <w:highlight w:val="none"/>
        </w:rPr>
        <w:instrText xml:space="preserve"> HYPERLINK \l "_Toc26428" </w:instrText>
      </w:r>
      <w:r>
        <w:rPr>
          <w:color w:val="auto"/>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"_Toc17445" </w:instrText>
      </w:r>
      <w:r>
        <w:rPr>
          <w:color w:val="auto"/>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"_Toc15584" </w:instrText>
      </w:r>
      <w:r>
        <w:rPr>
          <w:color w:val="auto"/>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"_Toc28477" </w:instrText>
      </w:r>
      <w:r>
        <w:rPr>
          <w:color w:val="auto"/>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"_Toc25002" </w:instrText>
      </w:r>
      <w:r>
        <w:rPr>
          <w:color w:val="auto"/>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"_Toc19345" </w:instrText>
      </w:r>
      <w:r>
        <w:rPr>
          <w:color w:val="auto"/>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sz w:val="30"/>
          <w:szCs w:val="30"/>
          <w:highlight w:val="none"/>
        </w:rPr>
      </w:pPr>
      <w:r>
        <w:rPr>
          <w:color w:val="auto"/>
          <w:highlight w:val="none"/>
        </w:rPr>
        <w:fldChar w:fldCharType="begin"/>
      </w:r>
      <w:r>
        <w:rPr>
          <w:color w:val="auto"/>
          <w:highlight w:val="none"/>
        </w:rPr>
        <w:instrText xml:space="preserve"> HYPERLINK \l "_Toc31315" </w:instrText>
      </w:r>
      <w:r>
        <w:rPr>
          <w:color w:val="auto"/>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eastAsia="宋体" w:cs="宋体"/>
          <w:color w:val="auto"/>
          <w:sz w:val="30"/>
          <w:szCs w:val="30"/>
          <w:highlight w:val="none"/>
        </w:rPr>
        <w:fldChar w:fldCharType="end"/>
      </w:r>
      <w:r/>
    </w:p>
    <w:p>
      <w:pPr>
        <w:pStyle w:val="972"/>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color w:val="auto"/>
          <w:highlight w:val="none"/>
        </w:rPr>
        <w:sectPr>
          <w:headerReference w:type="default" r:id="rId9"/>
          <w:headerReference w:type="first" r:id="rId10"/>
          <w:footerReference w:type="default" r:id="rId12"/>
          <w:footerReference w:type="even" r:id="rId13"/>
          <w:footnotePr/>
          <w:endnotePr/>
          <w:type w:val="nextPage"/>
          <w:pgSz w:w="11906" w:h="16838" w:orient="portrait"/>
          <w:pgMar w:top="1417" w:right="1417" w:bottom="1417" w:left="1417" w:header="851" w:footer="992" w:gutter="0"/>
          <w:cols w:num="1" w:sep="0" w:space="720" w:equalWidth="1"/>
          <w:docGrid w:linePitch="360"/>
          <w:titlePg/>
        </w:sectPr>
      </w:pPr>
      <w:r>
        <w:rPr>
          <w:color w:val="auto"/>
          <w:highlight w:val="none"/>
        </w:rPr>
        <w:tab/>
      </w:r>
      <w:r/>
    </w:p>
    <w:p>
      <w:pPr>
        <w:pStyle w:val="948"/>
        <w:numPr>
          <w:ilvl w:val="0"/>
          <w:numId w:val="0"/>
        </w:numPr>
        <w:jc w:val="center"/>
        <w:spacing w:line="480" w:lineRule="auto"/>
        <w:rPr>
          <w:rFonts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5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tcPr>
          <w:p>
            <w:pPr>
              <w:jc w:val="center"/>
              <w:spacing w:line="360" w:lineRule="auto"/>
              <w:widowControl w:val="off"/>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center"/>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tabs>
                <w:tab w:val="left" w:pos="360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太仓市浮桥镇人民政府</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JSZC-320585-SZTZ-G2026-0009</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pStyle w:val="975"/>
              <w:ind w:firstLine="0"/>
              <w:spacing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环卫所车辆维修服务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pStyle w:val="975"/>
              <w:ind w:firstLine="0"/>
              <w:spacing w:line="360" w:lineRule="auto"/>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bidi="zh-CN"/>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tcPr>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地址：太仓市娄东街道上海东路333号高展商务大厦10楼1003室   </w:t>
            </w:r>
            <w:r/>
          </w:p>
          <w:p>
            <w:pPr>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lang w:val="en-US" w:eastAsia="zh-CN"/>
              </w:rPr>
              <w:t xml:space="preserve">   </w:t>
            </w:r>
            <w:r>
              <w:rPr>
                <w:rFonts w:hint="eastAsia" w:ascii="宋体" w:hAnsi="宋体" w:cs="宋体"/>
                <w:bCs/>
                <w:color w:val="auto"/>
                <w:sz w:val="21"/>
                <w:szCs w:val="21"/>
                <w:highlight w:val="none"/>
                <w:lang w:val="zh-CN"/>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tcPr>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时间：自招标文件公告发布之日起5个工作日</w:t>
            </w:r>
            <w:r/>
          </w:p>
          <w:p>
            <w:pPr>
              <w:pStyle w:val="978"/>
              <w:spacing w:beforeAutospacing="0" w:afterAutospacing="0" w:line="360" w:lineRule="auto"/>
              <w:rPr>
                <w:color w:val="auto"/>
                <w:sz w:val="21"/>
                <w:szCs w:val="21"/>
                <w:highlight w:val="none"/>
                <w:lang w:val="zh-CN"/>
              </w:rPr>
            </w:pPr>
            <w:r>
              <w:rPr>
                <w:rFonts w:hint="eastAsia"/>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color w:val="auto"/>
                <w:sz w:val="21"/>
                <w:szCs w:val="21"/>
                <w:highlight w:val="none"/>
                <w:shd w:val="clear" w:color="auto" w:fill="ffffff"/>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shd w:val="clear" w:color="auto" w:fill="ffffff"/>
              <w:rPr>
                <w:rFonts w:ascii="宋体" w:hAnsi="宋体" w:cs="宋体"/>
                <w:b/>
                <w:color w:val="auto"/>
                <w:sz w:val="21"/>
                <w:szCs w:val="21"/>
                <w:highlight w:val="none"/>
                <w:lang w:val="zh-CN"/>
              </w:rPr>
            </w:pPr>
            <w:r>
              <w:rPr>
                <w:rFonts w:hint="eastAsia" w:ascii="宋体" w:hAnsi="宋体" w:cs="宋体"/>
                <w:color w:val="auto"/>
                <w:sz w:val="21"/>
                <w:szCs w:val="21"/>
                <w:highlight w:val="none"/>
                <w:shd w:val="clear" w:color="auto" w:fill="ffffff"/>
              </w:rPr>
              <w:t xml:space="preserve">加密的电子投标文件上传截止时间：</w:t>
            </w:r>
            <w:r>
              <w:rPr>
                <w:rFonts w:hint="eastAsia" w:ascii="宋体" w:hAnsi="宋体" w:cs="宋体"/>
                <w:b/>
                <w:bCs/>
                <w:color w:val="auto"/>
                <w:sz w:val="21"/>
                <w:szCs w:val="21"/>
                <w:highlight w:val="none"/>
                <w:u w:val="single"/>
                <w:shd w:val="clear" w:color="auto" w:fill="ffffff"/>
                <w:lang w:eastAsia="zh-CN"/>
              </w:rPr>
              <w:t xml:space="preserve">2026年06月03日14点00分</w:t>
            </w:r>
            <w:r>
              <w:rPr>
                <w:rFonts w:hint="eastAsia" w:ascii="宋体" w:hAnsi="宋体" w:cs="宋体"/>
                <w:color w:val="auto"/>
                <w:sz w:val="21"/>
                <w:szCs w:val="21"/>
                <w:highlight w:val="none"/>
                <w:shd w:val="clear" w:color="auto" w:fill="ffffff"/>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时间：2026年06月03日14点00分（北京时间）</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Height w:val="415"/>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w:t>
            </w:r>
            <w:r>
              <w:rPr>
                <w:rFonts w:hint="eastAsia" w:ascii="宋体" w:hAnsi="宋体" w:cs="宋体"/>
                <w:color w:val="auto"/>
                <w:sz w:val="21"/>
                <w:szCs w:val="21"/>
                <w:highlight w:val="none"/>
              </w:rPr>
              <w:t xml:space="preserve">每个采购包</w:t>
            </w:r>
            <w:r>
              <w:rPr>
                <w:rFonts w:hint="eastAsia" w:ascii="宋体" w:hAnsi="宋体" w:cs="宋体"/>
                <w:color w:val="auto"/>
                <w:sz w:val="21"/>
                <w:szCs w:val="21"/>
                <w:highlight w:val="none"/>
                <w:lang w:val="zh-CN"/>
              </w:rPr>
              <w:t xml:space="preserve">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rPr>
              <w:t xml:space="preserve">由采购人支付。</w:t>
            </w:r>
            <w:r/>
          </w:p>
          <w:p>
            <w:pPr>
              <w:jc w:val="both"/>
              <w:spacing w:line="360" w:lineRule="auto"/>
              <w:widowControl w:val="off"/>
              <w:rPr>
                <w:rFonts w:hint="default"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pStyle w:val="1040"/>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highlight w:val="none"/>
              </w:rPr>
              <w:t xml:space="preserve">说明：代理服务费以</w:t>
            </w: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预算金额为基数依据，参照以上规定的标准和差额定率累进法进行计算收取。例：如</w:t>
            </w:r>
            <w:r>
              <w:rPr>
                <w:rFonts w:hint="eastAsia" w:ascii="宋体" w:hAnsi="宋体" w:eastAsia="宋体" w:cs="宋体"/>
                <w:color w:val="auto"/>
                <w:sz w:val="21"/>
                <w:highlight w:val="none"/>
                <w:lang w:val="en-US" w:eastAsia="zh-CN"/>
              </w:rPr>
              <w:t xml:space="preserve">标段</w:t>
            </w:r>
            <w:r>
              <w:rPr>
                <w:rFonts w:hint="eastAsia" w:ascii="宋体" w:hAnsi="宋体" w:eastAsia="宋体" w:cs="宋体"/>
                <w:color w:val="auto"/>
                <w:sz w:val="21"/>
                <w:highlight w:val="none"/>
              </w:rPr>
              <w:t xml:space="preserve">预算金额为150万元，则代理服务费＝100万元以下部分×1.5%＋（150万元－100万元以下部分）×1.1%。如按上述方法计算的金额低于人民币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元整的，则按人民币</w:t>
            </w:r>
            <w:r>
              <w:rPr>
                <w:rFonts w:hint="eastAsia" w:ascii="宋体" w:hAnsi="宋体" w:eastAsia="宋体" w:cs="宋体"/>
                <w:color w:val="auto"/>
                <w:sz w:val="21"/>
                <w:highlight w:val="none"/>
                <w:lang w:val="en-US" w:eastAsia="zh-CN"/>
              </w:rPr>
              <w:t xml:space="preserve">3500</w:t>
            </w:r>
            <w:r>
              <w:rPr>
                <w:rFonts w:hint="eastAsia" w:ascii="宋体" w:hAnsi="宋体" w:eastAsia="宋体" w:cs="宋体"/>
                <w:color w:val="auto"/>
                <w:sz w:val="21"/>
                <w:highlight w:val="none"/>
              </w:rPr>
              <w:t xml:space="preserve">元整计收。本项目代理服务费</w:t>
            </w:r>
            <w:r>
              <w:rPr>
                <w:rFonts w:hint="eastAsia" w:ascii="宋体" w:hAnsi="宋体" w:eastAsia="宋体" w:cs="宋体"/>
                <w:color w:val="auto"/>
                <w:sz w:val="21"/>
                <w:highlight w:val="none"/>
                <w:lang w:val="en-US" w:eastAsia="zh-CN"/>
              </w:rPr>
              <w:t xml:space="preserve">一标段为：</w:t>
            </w:r>
            <w:r>
              <w:rPr>
                <w:rFonts w:hint="eastAsia" w:ascii="宋体" w:hAnsi="宋体" w:eastAsia="宋体" w:cs="宋体"/>
                <w:color w:val="auto"/>
                <w:sz w:val="21"/>
                <w:highlight w:val="none"/>
              </w:rPr>
              <w:t xml:space="preserve">人民币</w:t>
            </w:r>
            <w:r>
              <w:rPr>
                <w:rFonts w:hint="eastAsia" w:ascii="宋体" w:hAnsi="宋体" w:eastAsia="宋体" w:cs="宋体"/>
                <w:color w:val="auto"/>
                <w:sz w:val="21"/>
                <w:highlight w:val="none"/>
                <w:lang w:val="en-US" w:eastAsia="zh-CN"/>
              </w:rPr>
              <w:t xml:space="preserve">贰万陆仟元整</w:t>
            </w:r>
            <w:r>
              <w:rPr>
                <w:rFonts w:hint="eastAsia" w:ascii="宋体" w:hAnsi="宋体" w:eastAsia="宋体" w:cs="宋体"/>
                <w:color w:val="auto"/>
                <w:sz w:val="21"/>
                <w:highlight w:val="none"/>
                <w:lang w:eastAsia="zh-CN"/>
              </w:rPr>
              <w:t xml:space="preserve">；</w:t>
            </w:r>
            <w:r>
              <w:rPr>
                <w:rFonts w:hint="eastAsia" w:ascii="宋体" w:hAnsi="宋体" w:eastAsia="宋体" w:cs="宋体"/>
                <w:color w:val="auto"/>
                <w:sz w:val="21"/>
                <w:highlight w:val="none"/>
                <w:lang w:val="en-US" w:eastAsia="zh-CN"/>
              </w:rPr>
              <w:t xml:space="preserve">二标段服务费为人民币玖仟元整。</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38"/>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tcPr>
          <w:p>
            <w:pPr>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tcPr>
          <w:p>
            <w:pPr>
              <w:spacing w:line="360" w:lineRule="auto"/>
              <w:rPr>
                <w:rFonts w:ascii="宋体" w:hAnsi="宋体" w:cs="宋体"/>
                <w:color w:val="auto"/>
                <w:sz w:val="21"/>
                <w:szCs w:val="21"/>
                <w:highlight w:val="none"/>
                <w:lang w:val="zh-CN"/>
              </w:rPr>
            </w:pPr>
            <w:r>
              <w:rPr>
                <w:rFonts w:hint="eastAsia" w:ascii="宋体" w:hAnsi="宋体"/>
                <w:color w:val="auto"/>
                <w:sz w:val="21"/>
                <w:szCs w:val="21"/>
                <w:highlight w:val="none"/>
              </w:rPr>
              <w:t xml:space="preserve">无</w:t>
            </w:r>
            <w:r/>
          </w:p>
        </w:tc>
      </w:tr>
    </w:tbl>
    <w:p>
      <w:pPr>
        <w:pStyle w:val="948"/>
        <w:numPr>
          <w:ilvl w:val="0"/>
          <w:numId w:val="0"/>
        </w:numPr>
        <w:jc w:val="center"/>
        <w:spacing w:line="480" w:lineRule="auto"/>
        <w:rPr>
          <w:rFonts w:ascii="宋体" w:hAnsi="宋体" w:eastAsia="宋体" w:cs="宋体"/>
          <w:color w:val="auto"/>
          <w:sz w:val="32"/>
          <w:szCs w:val="32"/>
          <w:highlight w:val="none"/>
        </w:rPr>
      </w:pPr>
      <w:r>
        <w:rPr>
          <w:rFonts w:hint="eastAsia" w:ascii="宋体" w:hAnsi="宋体" w:cs="宋体"/>
          <w:b w:val="0"/>
          <w:bCs/>
          <w:color w:val="auto"/>
          <w:spacing w:val="-14"/>
          <w:sz w:val="30"/>
          <w:highlight w:val="none"/>
        </w:rPr>
        <w:br w:type="page" w:clear="all"/>
      </w:r>
      <w:bookmarkStart w:id="1" w:name="_Toc17445"/>
      <w:r>
        <w:rPr>
          <w:rFonts w:hint="eastAsia" w:ascii="宋体" w:hAnsi="宋体" w:eastAsia="宋体" w:cs="宋体"/>
          <w:color w:val="auto"/>
          <w:sz w:val="32"/>
          <w:szCs w:val="32"/>
          <w:highlight w:val="none"/>
        </w:rPr>
        <w:t xml:space="preserve">第一章 招标公告</w:t>
      </w:r>
      <w:bookmarkEnd w:id="1"/>
      <w:r/>
      <w:r/>
    </w:p>
    <w:tbl>
      <w:tblPr>
        <w:tblStyle w:val="958"/>
        <w:tblW w:w="4915" w:type="pct"/>
        <w:tblInd w:w="16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947"/>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5000" w:type="pct"/>
            <w:vAlign w:val="center"/>
            <w:textDirection w:val="lrTb"/>
            <w:noWrap w:val="false"/>
          </w:tcPr>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项目概况</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环卫所车辆维修服务JSZC-320585-SZTZ-G2026-0009</w:t>
            </w:r>
            <w:r>
              <w:rPr>
                <w:rFonts w:hint="eastAsia" w:ascii="仿宋" w:hAnsi="仿宋" w:eastAsia="仿宋" w:cs="仿宋"/>
                <w:color w:val="auto"/>
                <w:sz w:val="21"/>
                <w:szCs w:val="21"/>
                <w:highlight w:val="none"/>
              </w:rPr>
              <w:t xml:space="preserve"> 招标项目的潜在投标人应在苏采云政府采购一体化平台获取招标文件，并于</w:t>
            </w:r>
            <w:r>
              <w:rPr>
                <w:rFonts w:hint="eastAsia" w:ascii="仿宋" w:hAnsi="仿宋" w:eastAsia="仿宋" w:cs="仿宋"/>
                <w:color w:val="auto"/>
                <w:sz w:val="21"/>
                <w:szCs w:val="21"/>
                <w:highlight w:val="none"/>
                <w:lang w:eastAsia="zh-CN"/>
              </w:rPr>
              <w:t xml:space="preserve">2026年06月03日14点00分</w:t>
            </w:r>
            <w:r>
              <w:rPr>
                <w:rFonts w:hint="eastAsia" w:ascii="仿宋" w:hAnsi="仿宋" w:eastAsia="仿宋" w:cs="仿宋"/>
                <w:color w:val="auto"/>
                <w:sz w:val="21"/>
                <w:szCs w:val="21"/>
                <w:highlight w:val="none"/>
              </w:rPr>
              <w:t xml:space="preserve">（北京时间）前递交投标文件。</w:t>
            </w:r>
            <w:r/>
          </w:p>
        </w:tc>
      </w:tr>
    </w:tbl>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一、项目基本情况</w:t>
      </w:r>
      <w:r/>
    </w:p>
    <w:p>
      <w:pPr>
        <w:pStyle w:val="978"/>
        <w:ind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项目编号：</w:t>
      </w:r>
      <w:r>
        <w:rPr>
          <w:rFonts w:hint="eastAsia" w:ascii="仿宋" w:hAnsi="仿宋" w:eastAsia="仿宋" w:cs="仿宋"/>
          <w:color w:val="auto"/>
          <w:sz w:val="21"/>
          <w:szCs w:val="21"/>
          <w:highlight w:val="none"/>
          <w:lang w:eastAsia="zh-CN"/>
        </w:rPr>
        <w:t xml:space="preserve">JSZC-320585-SZTZ-G2026-0009</w:t>
      </w:r>
      <w:r>
        <w:rPr>
          <w:rFonts w:hint="eastAsia" w:ascii="仿宋" w:hAnsi="仿宋" w:eastAsia="仿宋" w:cs="仿宋"/>
          <w:color w:val="auto"/>
          <w:sz w:val="21"/>
          <w:szCs w:val="21"/>
          <w:highlight w:val="none"/>
        </w:rPr>
        <w:t xml:space="preserve"> </w:t>
      </w:r>
      <w:r/>
    </w:p>
    <w:p>
      <w:pPr>
        <w:pStyle w:val="978"/>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项目名称：</w:t>
      </w:r>
      <w:r>
        <w:rPr>
          <w:rFonts w:hint="eastAsia" w:ascii="仿宋" w:hAnsi="仿宋" w:eastAsia="仿宋" w:cs="仿宋"/>
          <w:color w:val="auto"/>
          <w:sz w:val="21"/>
          <w:szCs w:val="21"/>
          <w:highlight w:val="none"/>
          <w:lang w:eastAsia="zh-CN"/>
        </w:rPr>
        <w:t xml:space="preserve">环卫所车辆维修服务</w:t>
      </w:r>
      <w:r>
        <w:rPr>
          <w:rFonts w:hint="eastAsia" w:ascii="仿宋" w:hAnsi="仿宋" w:eastAsia="仿宋" w:cs="仿宋"/>
          <w:color w:val="auto"/>
          <w:sz w:val="21"/>
          <w:szCs w:val="21"/>
          <w:highlight w:val="none"/>
        </w:rPr>
        <w:t xml:space="preserve"> </w:t>
      </w:r>
      <w:r/>
    </w:p>
    <w:p>
      <w:pPr>
        <w:pStyle w:val="978"/>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预算金额：</w:t>
      </w:r>
      <w:r>
        <w:rPr>
          <w:rFonts w:hint="eastAsia" w:ascii="仿宋" w:hAnsi="仿宋" w:eastAsia="仿宋" w:cs="仿宋"/>
          <w:color w:val="auto"/>
          <w:sz w:val="21"/>
          <w:szCs w:val="21"/>
          <w:highlight w:val="none"/>
          <w:lang w:val="en-US" w:eastAsia="zh-CN"/>
        </w:rPr>
        <w:t xml:space="preserve">260.000000万元</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采购包1:200.000000万元；采购包2:60.000000万元</w:t>
      </w:r>
      <w:r>
        <w:rPr>
          <w:rFonts w:hint="eastAsia" w:ascii="仿宋" w:hAnsi="仿宋" w:eastAsia="仿宋" w:cs="仿宋"/>
          <w:color w:val="auto"/>
          <w:sz w:val="21"/>
          <w:szCs w:val="21"/>
          <w:highlight w:val="none"/>
          <w:lang w:eastAsia="zh-CN"/>
        </w:rPr>
        <w:t xml:space="preserve">）</w:t>
      </w:r>
      <w:r/>
    </w:p>
    <w:p>
      <w:pPr>
        <w:pStyle w:val="978"/>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最高限价（如有）：</w:t>
      </w:r>
      <w:r>
        <w:rPr>
          <w:rFonts w:hint="eastAsia" w:ascii="仿宋" w:hAnsi="仿宋" w:eastAsia="仿宋" w:cs="仿宋"/>
          <w:color w:val="auto"/>
          <w:sz w:val="21"/>
          <w:szCs w:val="21"/>
          <w:highlight w:val="none"/>
          <w:lang w:val="en-US" w:eastAsia="zh-CN"/>
        </w:rPr>
        <w:t xml:space="preserve">260.000000万元</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lang w:val="en-US" w:eastAsia="zh-CN"/>
        </w:rPr>
        <w:t xml:space="preserve">采购包1:200.000000万元；采购包2:60.000000万元</w:t>
      </w:r>
      <w:r>
        <w:rPr>
          <w:rFonts w:hint="eastAsia" w:ascii="仿宋" w:hAnsi="仿宋" w:eastAsia="仿宋" w:cs="仿宋"/>
          <w:color w:val="auto"/>
          <w:sz w:val="21"/>
          <w:szCs w:val="21"/>
          <w:highlight w:val="none"/>
          <w:lang w:eastAsia="zh-CN"/>
        </w:rPr>
        <w:t xml:space="preserve">）</w:t>
      </w:r>
      <w:r/>
    </w:p>
    <w:p>
      <w:pPr>
        <w:pStyle w:val="978"/>
        <w:ind w:left="0"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采购方式：公开招标 </w:t>
      </w:r>
      <w:r/>
    </w:p>
    <w:p>
      <w:pPr>
        <w:ind w:left="0" w:firstLine="420"/>
        <w:jc w:val="both"/>
        <w:keepLines w:val="0"/>
        <w:keepNext w:val="0"/>
        <w:pageBreakBefore w:val="0"/>
        <w:spacing w:line="360" w:lineRule="auto"/>
        <w:widowControl w:val="off"/>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采购需求：</w:t>
      </w:r>
      <w:r>
        <w:rPr>
          <w:rFonts w:hint="eastAsia" w:ascii="仿宋" w:hAnsi="仿宋" w:eastAsia="仿宋" w:cs="仿宋"/>
          <w:bCs/>
          <w:color w:val="auto"/>
          <w:sz w:val="21"/>
          <w:szCs w:val="21"/>
          <w:highlight w:val="none"/>
          <w:lang w:val="en-US" w:eastAsia="zh-CN" w:bidi="ar-SA"/>
        </w:rPr>
        <w:t xml:space="preserve">太仓市浮桥镇环卫所车辆维修服务。采购包1：太仓市浮桥镇浏家港和港城环卫所车辆维修服务；采购包2：太仓市浮桥镇金浪环卫所车辆维修服务。</w:t>
      </w:r>
      <w:r>
        <w:rPr>
          <w:rFonts w:hint="eastAsia" w:ascii="仿宋" w:hAnsi="仿宋" w:eastAsia="仿宋" w:cs="仿宋"/>
          <w:color w:val="auto"/>
          <w:sz w:val="21"/>
          <w:szCs w:val="21"/>
          <w:highlight w:val="none"/>
          <w:lang w:eastAsia="zh-CN"/>
        </w:rPr>
        <w:t xml:space="preserve">具体要求详见第三</w:t>
      </w:r>
      <w:r>
        <w:rPr>
          <w:rFonts w:hint="eastAsia" w:ascii="仿宋" w:hAnsi="仿宋" w:eastAsia="仿宋" w:cs="仿宋"/>
          <w:color w:val="auto"/>
          <w:sz w:val="21"/>
          <w:szCs w:val="21"/>
          <w:highlight w:val="none"/>
          <w:lang w:val="en-US" w:eastAsia="zh-CN"/>
        </w:rPr>
        <w:t xml:space="preserve">章</w:t>
      </w:r>
      <w:r>
        <w:rPr>
          <w:rFonts w:hint="eastAsia" w:ascii="仿宋" w:hAnsi="仿宋" w:eastAsia="仿宋" w:cs="仿宋"/>
          <w:color w:val="auto"/>
          <w:sz w:val="21"/>
          <w:szCs w:val="21"/>
          <w:highlight w:val="none"/>
          <w:lang w:eastAsia="zh-CN"/>
        </w:rPr>
        <w:t xml:space="preserve">项目需求。</w:t>
      </w:r>
      <w:r/>
    </w:p>
    <w:p>
      <w:pPr>
        <w:pStyle w:val="978"/>
        <w:ind w:left="0"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合同履行期限：</w:t>
      </w:r>
      <w:r>
        <w:rPr>
          <w:rFonts w:hint="eastAsia" w:ascii="仿宋" w:hAnsi="仿宋" w:eastAsia="仿宋" w:cs="仿宋"/>
          <w:bCs/>
          <w:color w:val="auto"/>
          <w:sz w:val="21"/>
          <w:szCs w:val="21"/>
          <w:highlight w:val="none"/>
          <w:lang w:val="en-US" w:eastAsia="zh-CN"/>
        </w:rPr>
        <w:t xml:space="preserve">自合同签订之日起一年或项目结算金额达到预算金额为止，具体以采购人要求为准。</w:t>
      </w:r>
      <w:r/>
    </w:p>
    <w:p>
      <w:pPr>
        <w:pStyle w:val="978"/>
        <w:ind w:left="0" w:firstLine="420"/>
        <w:keepLines w:val="0"/>
        <w:keepNext w:val="0"/>
        <w:pageBreakBefore w:val="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本项目（是/否）接受联合体投标：不接受联合体</w:t>
      </w:r>
      <w:r/>
    </w:p>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二、申请人的资格要求</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（一）满足《中华人民共和国政府采购法》第二十二条规定；</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1.具有独立承担民事责任的能力；</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2.具有良好的商业信誉和健全的财务会计制度；</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3.具有依法缴纳税收和社会保障资金的良好记录；</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4.具有履行合同所必需的设备和专业技术能力；</w:t>
      </w:r>
      <w:r/>
    </w:p>
    <w:p>
      <w:pPr>
        <w:pStyle w:val="978"/>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5.参加政府采购活动前三年内，在经营活动中没有重大违法记录；</w:t>
      </w:r>
      <w:r/>
    </w:p>
    <w:p>
      <w:pPr>
        <w:pStyle w:val="978"/>
        <w:ind w:firstLine="420"/>
        <w:spacing w:beforeAutospacing="0" w:afterAutospacing="0"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b w:val="0"/>
          <w:bCs w:val="0"/>
          <w:color w:val="auto"/>
          <w:sz w:val="21"/>
          <w:szCs w:val="21"/>
          <w:highlight w:val="none"/>
        </w:rPr>
        <w:t xml:space="preserve">法律、行政法规规定的其他条件</w:t>
      </w:r>
      <w:r/>
    </w:p>
    <w:p>
      <w:pPr>
        <w:pStyle w:val="978"/>
        <w:ind w:firstLine="42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（二）落实政府采购政策需满足的资格要求：</w:t>
      </w:r>
      <w:r/>
    </w:p>
    <w:p>
      <w:pPr>
        <w:ind w:firstLine="422"/>
        <w:keepLines w:val="0"/>
        <w:keepNext w:val="0"/>
        <w:pageBreakBefore w:val="0"/>
        <w:spacing w:line="360" w:lineRule="auto"/>
        <w:rPr>
          <w:rFonts w:hint="eastAsia" w:ascii="仿宋" w:hAnsi="仿宋" w:eastAsia="仿宋" w:cs="仿宋"/>
          <w:b/>
          <w:bCs/>
          <w:color w:val="auto"/>
          <w:sz w:val="21"/>
          <w:szCs w:val="21"/>
          <w:highlight w:val="none"/>
        </w:rPr>
      </w:pPr>
      <w:r>
        <w:rPr>
          <w:rStyle w:val="984"/>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rPr>
        <w:t xml:space="preserve"> 未被“信用中国”网站（www.creditchina.gov.cn）或中国政府采购网（https://www.ccgp.gov.cn/search/cr/）列入失信被执行人、重大税收违法案件当事人名单、政府采购严重违法失信行为记录名单。</w:t>
      </w:r>
      <w:r/>
    </w:p>
    <w:p>
      <w:pPr>
        <w:ind w:firstLine="422"/>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shd w:val="clear" w:color="auto" w:fill="ffffff"/>
        </w:rPr>
        <w:t xml:space="preserve">2.本项目属于专门面向中小企业采购的项目，投标人应为中小微企业，必须提供《中小企业声明函》，小微企业不享受价格扣除优惠。提供《残疾人福利性单位声明函》或属于监狱企业的证明文件的视同小微企业。</w:t>
      </w:r>
      <w:r/>
    </w:p>
    <w:p>
      <w:pPr>
        <w:pStyle w:val="978"/>
        <w:ind w:firstLine="420"/>
        <w:keepLines w:val="0"/>
        <w:keepNext w:val="0"/>
        <w:pageBreakBefore w:val="0"/>
        <w:spacing w:beforeAutospacing="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（三）本项目的特定资格要求： </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1、具有主管单位颁发的《机动车维修经营备案证明（经营范围：二类或以上汽车维修》的证书。</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zh-CN" w:eastAsia="zh-CN" w:bidi="ar-SA"/>
        </w:rPr>
      </w:pPr>
      <w:r>
        <w:rPr>
          <w:rFonts w:hint="eastAsia" w:ascii="仿宋" w:hAnsi="仿宋" w:eastAsia="仿宋" w:cs="仿宋"/>
          <w:color w:val="auto"/>
          <w:sz w:val="21"/>
          <w:szCs w:val="21"/>
          <w:highlight w:val="none"/>
          <w:lang w:val="en-US" w:eastAsia="zh-CN" w:bidi="ar-SA"/>
        </w:rPr>
        <w:t xml:space="preserve">2、配备</w:t>
      </w:r>
      <w:r>
        <w:rPr>
          <w:rFonts w:hint="eastAsia" w:ascii="仿宋" w:hAnsi="仿宋" w:eastAsia="仿宋" w:cs="仿宋"/>
          <w:color w:val="auto"/>
          <w:sz w:val="21"/>
          <w:szCs w:val="21"/>
          <w:highlight w:val="none"/>
          <w:lang w:val="zh-CN" w:eastAsia="zh-CN" w:bidi="ar-SA"/>
        </w:rPr>
        <w:t xml:space="preserve">不少于1辆重型专项作业车</w:t>
      </w:r>
      <w:r>
        <w:rPr>
          <w:rFonts w:hint="eastAsia" w:ascii="仿宋" w:hAnsi="仿宋" w:eastAsia="仿宋" w:cs="仿宋"/>
          <w:color w:val="auto"/>
          <w:sz w:val="21"/>
          <w:szCs w:val="21"/>
          <w:highlight w:val="none"/>
          <w:lang w:val="en-US" w:eastAsia="zh-CN" w:bidi="ar-SA"/>
        </w:rPr>
        <w:t xml:space="preserve">（如为自有的提供购置发票及车辆行驶证扫描件；如为租赁的提供租赁合同及车辆行驶证扫描件)</w:t>
      </w:r>
      <w:r>
        <w:rPr>
          <w:rFonts w:hint="eastAsia" w:ascii="仿宋" w:hAnsi="仿宋" w:eastAsia="仿宋" w:cs="仿宋"/>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3、本项目要求投标单位各标段拟投入人员合计不少于6人，其中项目负责人1人，技术负责人1人，其他维修人员4人（其中至少一名人员具有准驾车型B2及以上车型的机动车驾驶证）。</w:t>
      </w:r>
      <w:r/>
    </w:p>
    <w:p>
      <w:pPr>
        <w:ind w:firstLine="420"/>
        <w:jc w:val="both"/>
        <w:keepLines w:val="0"/>
        <w:keepNext w:val="0"/>
        <w:pageBreakBefore w:val="0"/>
        <w:spacing w:line="360" w:lineRule="auto"/>
        <w:widowControl w:val="off"/>
        <w:rPr>
          <w:rFonts w:hint="eastAsia" w:ascii="仿宋" w:hAnsi="仿宋" w:eastAsia="仿宋" w:cs="仿宋"/>
          <w:b w:val="0"/>
          <w:bCs w:val="0"/>
          <w:color w:val="auto"/>
          <w:sz w:val="21"/>
          <w:szCs w:val="21"/>
          <w:highlight w:val="none"/>
        </w:rPr>
      </w:pPr>
      <w:r>
        <w:rPr>
          <w:rFonts w:hint="eastAsia" w:ascii="仿宋" w:hAnsi="仿宋" w:eastAsia="仿宋" w:cs="仿宋"/>
          <w:color w:val="auto"/>
          <w:sz w:val="21"/>
          <w:szCs w:val="21"/>
          <w:highlight w:val="none"/>
          <w:lang w:val="en-US" w:eastAsia="zh-CN" w:bidi="ar-SA"/>
        </w:rPr>
        <w:t xml:space="preserve">投标文件中提供以上人员相关证件及劳动合同）</w:t>
      </w:r>
      <w:r/>
    </w:p>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三、获取招标文件</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时间：自招标文件公告发布之日起5个工作日</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方式：系统内获取 </w:t>
      </w:r>
      <w:r/>
    </w:p>
    <w:p>
      <w:pPr>
        <w:ind w:firstLine="420"/>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售价：0.00元 </w:t>
      </w:r>
      <w:r/>
    </w:p>
    <w:p>
      <w:pPr>
        <w:pStyle w:val="949"/>
        <w:numPr>
          <w:ilvl w:val="1"/>
          <w:numId w:val="0"/>
        </w:numPr>
        <w:ind w:left="480"/>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四、提交投标文件截止时间、开标时间和地点</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2026年06月03日14点00分</w:t>
      </w:r>
      <w:r>
        <w:rPr>
          <w:rFonts w:hint="eastAsia" w:ascii="仿宋" w:hAnsi="仿宋" w:eastAsia="仿宋" w:cs="仿宋"/>
          <w:color w:val="auto"/>
          <w:sz w:val="21"/>
          <w:szCs w:val="21"/>
          <w:highlight w:val="none"/>
        </w:rPr>
        <w:t xml:space="preserve"> （北京时间）</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地点：苏采云政府采购一体化平台 </w:t>
      </w:r>
      <w:r/>
    </w:p>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五、公告期限</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自本公告发布之日起5个工作日。</w:t>
      </w:r>
      <w:r/>
    </w:p>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六、其他补充事宜</w:t>
      </w:r>
      <w:r/>
    </w:p>
    <w:p>
      <w:pPr>
        <w:ind w:firstLine="422"/>
        <w:jc w:val="both"/>
        <w:spacing w:line="360" w:lineRule="auto"/>
        <w:rPr>
          <w:rFonts w:ascii="仿宋" w:hAnsi="仿宋" w:eastAsia="仿宋" w:cs="仿宋"/>
          <w:color w:val="auto"/>
          <w:sz w:val="21"/>
          <w:szCs w:val="21"/>
          <w:highlight w:val="none"/>
        </w:rPr>
      </w:pPr>
      <w:r>
        <w:rPr>
          <w:rStyle w:val="984"/>
          <w:rFonts w:hint="eastAsia" w:ascii="仿宋" w:hAnsi="仿宋" w:eastAsia="仿宋" w:cs="仿宋"/>
          <w:color w:val="auto"/>
          <w:sz w:val="21"/>
          <w:szCs w:val="21"/>
          <w:highlight w:val="none"/>
        </w:rPr>
        <w:t xml:space="preserve">1、拒绝下述供应商参加本次采购活动：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auto"/>
          <w:sz w:val="21"/>
          <w:szCs w:val="21"/>
          <w:highlight w:val="none"/>
        </w:rPr>
      </w:pPr>
      <w:r>
        <w:rPr>
          <w:rStyle w:val="984"/>
          <w:rFonts w:hint="eastAsia" w:ascii="仿宋" w:hAnsi="仿宋" w:eastAsia="仿宋" w:cs="仿宋"/>
          <w:color w:val="auto"/>
          <w:sz w:val="21"/>
          <w:szCs w:val="21"/>
          <w:highlight w:val="none"/>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2）投标人登录苏采云系统，点击开标大厅，选择开标项目，完成不见面开标流程。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3）投标截止时间后根据系统提示解密电子投标文件。</w:t>
      </w:r>
      <w:r>
        <w:rPr>
          <w:rStyle w:val="984"/>
          <w:rFonts w:hint="eastAsia" w:ascii="仿宋" w:hAnsi="仿宋" w:eastAsia="仿宋" w:cs="仿宋"/>
          <w:color w:val="auto"/>
          <w:sz w:val="21"/>
          <w:szCs w:val="21"/>
          <w:highlight w:val="none"/>
        </w:rPr>
        <w:t xml:space="preserve">解密时间为15分钟，</w:t>
      </w:r>
      <w:r>
        <w:rPr>
          <w:rFonts w:hint="eastAsia" w:ascii="仿宋" w:hAnsi="仿宋" w:eastAsia="仿宋" w:cs="仿宋"/>
          <w:color w:val="auto"/>
          <w:sz w:val="21"/>
          <w:szCs w:val="21"/>
          <w:highlight w:val="none"/>
        </w:rPr>
        <w:t xml:space="preserve">未在规定时间内完成解密，其投标文件将被拒绝，不参与后续投标流程。</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w:t>
      </w:r>
      <w:r>
        <w:rPr>
          <w:rStyle w:val="984"/>
          <w:rFonts w:hint="eastAsia" w:ascii="仿宋" w:hAnsi="仿宋" w:eastAsia="仿宋" w:cs="仿宋"/>
          <w:color w:val="auto"/>
          <w:sz w:val="21"/>
          <w:szCs w:val="21"/>
          <w:highlight w:val="none"/>
        </w:rPr>
        <w:t xml:space="preserve">有关苏采云系统驱动安装，</w:t>
      </w:r>
      <w:r>
        <w:rPr>
          <w:rFonts w:hint="eastAsia" w:ascii="仿宋" w:hAnsi="仿宋" w:eastAsia="仿宋" w:cs="仿宋"/>
          <w:color w:val="auto"/>
          <w:sz w:val="21"/>
          <w:szCs w:val="21"/>
          <w:highlight w:val="none"/>
        </w:rPr>
        <w:t xml:space="preserve">登录苏州政府采购网，点击页面底部苏采云图标，进入苏采云政府采购一体化平台，点击“驱动下载”，下载</w:t>
      </w:r>
      <w:r>
        <w:rPr>
          <w:rStyle w:val="984"/>
          <w:rFonts w:hint="eastAsia" w:ascii="仿宋" w:hAnsi="仿宋" w:eastAsia="仿宋" w:cs="仿宋"/>
          <w:color w:val="auto"/>
          <w:sz w:val="21"/>
          <w:szCs w:val="21"/>
          <w:highlight w:val="none"/>
        </w:rPr>
        <w:t xml:space="preserve">“政务CA、方正签章控件驱动安装包及安装说明”</w:t>
      </w:r>
      <w:r>
        <w:rPr>
          <w:rFonts w:hint="eastAsia" w:ascii="仿宋" w:hAnsi="仿宋" w:eastAsia="仿宋" w:cs="仿宋"/>
          <w:color w:val="auto"/>
          <w:sz w:val="21"/>
          <w:szCs w:val="21"/>
          <w:highlight w:val="none"/>
        </w:rPr>
        <w:t xml:space="preserve">文件，按要求安装驱动。</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w:t>
      </w:r>
      <w:r>
        <w:rPr>
          <w:rStyle w:val="984"/>
          <w:rFonts w:hint="eastAsia" w:ascii="仿宋" w:hAnsi="仿宋" w:eastAsia="仿宋" w:cs="仿宋"/>
          <w:color w:val="auto"/>
          <w:sz w:val="21"/>
          <w:szCs w:val="21"/>
          <w:highlight w:val="none"/>
        </w:rPr>
        <w:t xml:space="preserve">有关供应商注册、报名、下载电子招标文件、制作上传电子投标文件</w:t>
      </w:r>
      <w:r>
        <w:rPr>
          <w:rFonts w:hint="eastAsia" w:ascii="仿宋" w:hAnsi="仿宋" w:eastAsia="仿宋" w:cs="仿宋"/>
          <w:color w:val="auto"/>
          <w:sz w:val="21"/>
          <w:szCs w:val="21"/>
          <w:highlight w:val="none"/>
        </w:rPr>
        <w:t xml:space="preserve">、不见面开标及其他注意事项登录苏州政府采购网，在“下载中心”栏目下载“</w:t>
      </w:r>
      <w:r>
        <w:rPr>
          <w:rStyle w:val="984"/>
          <w:rFonts w:hint="eastAsia" w:ascii="仿宋" w:hAnsi="仿宋" w:eastAsia="仿宋" w:cs="仿宋"/>
          <w:color w:val="auto"/>
          <w:sz w:val="21"/>
          <w:szCs w:val="21"/>
          <w:highlight w:val="none"/>
        </w:rPr>
        <w:t xml:space="preserve">苏采云系统供应商操作手册”</w:t>
      </w:r>
      <w:r>
        <w:rPr>
          <w:rFonts w:hint="eastAsia" w:ascii="仿宋" w:hAnsi="仿宋" w:eastAsia="仿宋" w:cs="仿宋"/>
          <w:color w:val="auto"/>
          <w:sz w:val="21"/>
          <w:szCs w:val="21"/>
          <w:highlight w:val="none"/>
        </w:rPr>
        <w:t xml:space="preserve">查阅。</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6、</w:t>
      </w:r>
      <w:r>
        <w:rPr>
          <w:rStyle w:val="984"/>
          <w:rFonts w:hint="eastAsia" w:ascii="仿宋" w:hAnsi="仿宋" w:eastAsia="仿宋" w:cs="仿宋"/>
          <w:color w:val="auto"/>
          <w:sz w:val="21"/>
          <w:szCs w:val="21"/>
          <w:highlight w:val="none"/>
        </w:rPr>
        <w:t xml:space="preserve">有关办理CA数字申领及电子签章事项</w:t>
      </w:r>
      <w:r>
        <w:rPr>
          <w:rFonts w:hint="eastAsia" w:ascii="仿宋" w:hAnsi="仿宋" w:eastAsia="仿宋" w:cs="仿宋"/>
          <w:color w:val="auto"/>
          <w:sz w:val="21"/>
          <w:szCs w:val="21"/>
          <w:highlight w:val="none"/>
        </w:rPr>
        <w:t xml:space="preserve">，登录苏州政府采购网，点击页面底部苏采云图标，进入苏采云政府采购一体化平台，下载</w:t>
      </w:r>
      <w:r>
        <w:rPr>
          <w:rStyle w:val="984"/>
          <w:rFonts w:hint="eastAsia" w:ascii="仿宋" w:hAnsi="仿宋" w:eastAsia="仿宋" w:cs="仿宋"/>
          <w:color w:val="auto"/>
          <w:sz w:val="21"/>
          <w:szCs w:val="21"/>
          <w:highlight w:val="none"/>
        </w:rPr>
        <w:t xml:space="preserve">“新CA办理指南”</w:t>
      </w:r>
      <w:r>
        <w:rPr>
          <w:rFonts w:hint="eastAsia" w:ascii="仿宋" w:hAnsi="仿宋" w:eastAsia="仿宋" w:cs="仿宋"/>
          <w:color w:val="auto"/>
          <w:sz w:val="21"/>
          <w:szCs w:val="21"/>
          <w:highlight w:val="none"/>
        </w:rPr>
        <w:t xml:space="preserve">文件查阅。</w:t>
      </w:r>
      <w:r/>
    </w:p>
    <w:p>
      <w:pPr>
        <w:ind w:firstLine="422"/>
        <w:keepLines w:val="0"/>
        <w:keepNext w:val="0"/>
        <w:pageBreakBefore w:val="0"/>
        <w:spacing w:line="360" w:lineRule="auto"/>
        <w:rPr>
          <w:rFonts w:hint="eastAsia" w:ascii="仿宋" w:hAnsi="仿宋" w:eastAsia="仿宋" w:cs="仿宋"/>
          <w:color w:val="auto"/>
          <w:sz w:val="21"/>
          <w:szCs w:val="21"/>
          <w:highlight w:val="none"/>
        </w:rPr>
      </w:pPr>
      <w:r>
        <w:rPr>
          <w:rStyle w:val="984"/>
          <w:rFonts w:hint="eastAsia" w:ascii="仿宋" w:hAnsi="仿宋" w:eastAsia="仿宋" w:cs="仿宋"/>
          <w:color w:val="auto"/>
          <w:sz w:val="21"/>
          <w:szCs w:val="21"/>
          <w:highlight w:val="none"/>
        </w:rPr>
        <w:t xml:space="preserve">7、本次招标投标保证金</w:t>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本项目无须缴纳投标保证金</w:t>
      </w:r>
      <w:r>
        <w:rPr>
          <w:rStyle w:val="984"/>
          <w:rFonts w:hint="eastAsia" w:ascii="仿宋" w:hAnsi="仿宋" w:eastAsia="仿宋" w:cs="仿宋"/>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szCs w:val="21"/>
          <w:highlight w:val="none"/>
        </w:rPr>
        <w:t xml:space="preserve">8、</w:t>
      </w:r>
      <w:r>
        <w:rPr>
          <w:rStyle w:val="984"/>
          <w:rFonts w:hint="eastAsia" w:ascii="仿宋" w:hAnsi="仿宋" w:eastAsia="仿宋" w:cs="仿宋"/>
          <w:color w:val="auto"/>
          <w:sz w:val="21"/>
          <w:szCs w:val="21"/>
          <w:highlight w:val="none"/>
          <w:lang w:eastAsia="zh-CN"/>
        </w:rPr>
        <w:t xml:space="preserve">代理服务费</w:t>
      </w:r>
      <w:r>
        <w:rPr>
          <w:rStyle w:val="984"/>
          <w:rFonts w:hint="eastAsia" w:ascii="仿宋" w:hAnsi="仿宋" w:eastAsia="仿宋" w:cs="仿宋"/>
          <w:color w:val="auto"/>
          <w:sz w:val="21"/>
          <w:szCs w:val="21"/>
          <w:highlight w:val="none"/>
        </w:rPr>
        <w:t xml:space="preserve">：</w:t>
      </w:r>
      <w:r>
        <w:rPr>
          <w:rFonts w:hint="eastAsia" w:ascii="仿宋" w:hAnsi="仿宋" w:eastAsia="仿宋" w:cs="仿宋"/>
          <w:color w:val="auto"/>
          <w:sz w:val="21"/>
          <w:highlight w:val="none"/>
        </w:rPr>
        <w:t xml:space="preserve">由采购人支付。</w:t>
      </w:r>
      <w:r/>
    </w:p>
    <w:p>
      <w:pPr>
        <w:ind w:firstLine="420"/>
        <w:jc w:val="both"/>
        <w:keepLines w:val="0"/>
        <w:keepNext w:val="0"/>
        <w:pageBreakBefore w:val="0"/>
        <w:spacing w:line="360" w:lineRule="auto"/>
        <w:widowControl w:val="off"/>
        <w:rPr>
          <w:rFonts w:hint="eastAsia" w:ascii="仿宋" w:hAnsi="仿宋" w:eastAsia="仿宋" w:cs="仿宋"/>
          <w:color w:val="auto"/>
          <w:sz w:val="21"/>
          <w:highlight w:val="none"/>
        </w:rPr>
      </w:pP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keepLines w:val="0"/>
        <w:keepNext w:val="0"/>
        <w:pageBreakBefore w:val="0"/>
        <w:spacing w:line="360" w:lineRule="auto"/>
        <w:rPr>
          <w:rFonts w:hint="eastAsia" w:ascii="仿宋" w:hAnsi="仿宋" w:eastAsia="仿宋" w:cs="仿宋"/>
          <w:color w:val="auto"/>
          <w:sz w:val="21"/>
          <w:highlight w:val="none"/>
          <w:lang w:val="en-US" w:eastAsia="zh-CN"/>
        </w:rPr>
      </w:pPr>
      <w:r>
        <w:rPr>
          <w:rFonts w:hint="eastAsia" w:ascii="仿宋" w:hAnsi="仿宋" w:eastAsia="仿宋" w:cs="仿宋"/>
          <w:color w:val="auto"/>
          <w:sz w:val="21"/>
          <w:highlight w:val="none"/>
        </w:rPr>
        <w:t xml:space="preserve">说明：代理服务费以</w:t>
      </w: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预算金额为基数依据，参照以上规定的标准和差额定率累进法进行计算收取。例：如</w:t>
      </w:r>
      <w:r>
        <w:rPr>
          <w:rFonts w:hint="eastAsia" w:ascii="仿宋" w:hAnsi="仿宋" w:eastAsia="仿宋" w:cs="仿宋"/>
          <w:color w:val="auto"/>
          <w:sz w:val="21"/>
          <w:highlight w:val="none"/>
          <w:lang w:val="en-US" w:eastAsia="zh-CN"/>
        </w:rPr>
        <w:t xml:space="preserve">标段</w:t>
      </w:r>
      <w:r>
        <w:rPr>
          <w:rFonts w:hint="eastAsia" w:ascii="仿宋" w:hAnsi="仿宋" w:eastAsia="仿宋" w:cs="仿宋"/>
          <w:color w:val="auto"/>
          <w:sz w:val="21"/>
          <w:highlight w:val="none"/>
        </w:rPr>
        <w:t xml:space="preserve">预算金额为150万元，则代理服务费＝100万元以下部分×1.5%＋（150万元－100万元以下部分）×1.1%。如按上述方法计算的金额低于人民币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元整的，则按人民币</w:t>
      </w:r>
      <w:r>
        <w:rPr>
          <w:rFonts w:hint="eastAsia" w:ascii="仿宋" w:hAnsi="仿宋" w:eastAsia="仿宋" w:cs="仿宋"/>
          <w:color w:val="auto"/>
          <w:sz w:val="21"/>
          <w:highlight w:val="none"/>
          <w:lang w:val="en-US" w:eastAsia="zh-CN"/>
        </w:rPr>
        <w:t xml:space="preserve">3500</w:t>
      </w:r>
      <w:r>
        <w:rPr>
          <w:rFonts w:hint="eastAsia" w:ascii="仿宋" w:hAnsi="仿宋" w:eastAsia="仿宋" w:cs="仿宋"/>
          <w:color w:val="auto"/>
          <w:sz w:val="21"/>
          <w:highlight w:val="none"/>
        </w:rPr>
        <w:t xml:space="preserve">元整计收。本项目代理服务费</w:t>
      </w:r>
      <w:r>
        <w:rPr>
          <w:rFonts w:hint="eastAsia" w:ascii="仿宋" w:hAnsi="仿宋" w:eastAsia="仿宋" w:cs="仿宋"/>
          <w:color w:val="auto"/>
          <w:sz w:val="21"/>
          <w:highlight w:val="none"/>
          <w:lang w:val="en-US" w:eastAsia="zh-CN"/>
        </w:rPr>
        <w:t xml:space="preserve">一标段为：</w:t>
      </w:r>
      <w:r>
        <w:rPr>
          <w:rFonts w:hint="eastAsia" w:ascii="仿宋" w:hAnsi="仿宋" w:eastAsia="仿宋" w:cs="仿宋"/>
          <w:color w:val="auto"/>
          <w:sz w:val="21"/>
          <w:highlight w:val="none"/>
        </w:rPr>
        <w:t xml:space="preserve">人民币</w:t>
      </w:r>
      <w:r>
        <w:rPr>
          <w:rFonts w:hint="eastAsia" w:ascii="仿宋" w:hAnsi="仿宋" w:eastAsia="仿宋" w:cs="仿宋"/>
          <w:color w:val="auto"/>
          <w:sz w:val="21"/>
          <w:highlight w:val="none"/>
          <w:lang w:val="en-US" w:eastAsia="zh-CN"/>
        </w:rPr>
        <w:t xml:space="preserve">贰万陆仟元整</w:t>
      </w:r>
      <w:r>
        <w:rPr>
          <w:rFonts w:hint="eastAsia" w:ascii="仿宋" w:hAnsi="仿宋" w:eastAsia="仿宋" w:cs="仿宋"/>
          <w:color w:val="auto"/>
          <w:sz w:val="21"/>
          <w:highlight w:val="none"/>
          <w:lang w:eastAsia="zh-CN"/>
        </w:rPr>
        <w:t xml:space="preserve">；</w:t>
      </w:r>
      <w:r>
        <w:rPr>
          <w:rFonts w:hint="eastAsia" w:ascii="仿宋" w:hAnsi="仿宋" w:eastAsia="仿宋" w:cs="仿宋"/>
          <w:color w:val="auto"/>
          <w:sz w:val="21"/>
          <w:highlight w:val="none"/>
          <w:lang w:val="en-US" w:eastAsia="zh-CN"/>
        </w:rPr>
        <w:t xml:space="preserve">二标段服务费为人民币玖仟元整。 </w:t>
      </w:r>
      <w:r/>
    </w:p>
    <w:p>
      <w:pPr>
        <w:ind w:firstLine="420"/>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账</w:t>
      </w:r>
      <w:r>
        <w:rPr>
          <w:rFonts w:hint="eastAsia" w:ascii="仿宋" w:hAnsi="仿宋" w:eastAsia="仿宋" w:cs="仿宋"/>
          <w:color w:val="auto"/>
          <w:sz w:val="21"/>
          <w:szCs w:val="21"/>
          <w:highlight w:val="none"/>
        </w:rPr>
        <w:t xml:space="preserve">户：苏州泰至鑫项目管理有限公司</w:t>
      </w:r>
      <w:r/>
    </w:p>
    <w:p>
      <w:pPr>
        <w:ind w:firstLine="420"/>
        <w:jc w:val="both"/>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开户行：中国建设银行股份有限公司太仓陆渡支行</w:t>
      </w:r>
      <w:r/>
    </w:p>
    <w:p>
      <w:pPr>
        <w:ind w:firstLine="420"/>
        <w:jc w:val="both"/>
        <w:keepLines w:val="0"/>
        <w:keepNext w:val="0"/>
        <w:pageBreakBefore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账户：3225 0199 7348 0000 0598</w:t>
      </w:r>
      <w:r/>
    </w:p>
    <w:p>
      <w:pPr>
        <w:ind w:firstLine="420"/>
        <w:jc w:val="both"/>
        <w:spacing w:line="360" w:lineRule="auto"/>
        <w:shd w:val="clear" w:color="auto" w:fill="ffffff"/>
        <w:rPr>
          <w:color w:val="auto"/>
          <w:sz w:val="21"/>
          <w:szCs w:val="21"/>
          <w:highlight w:val="none"/>
        </w:rPr>
      </w:pPr>
      <w:r>
        <w:rPr>
          <w:rStyle w:val="984"/>
          <w:rFonts w:hint="eastAsia" w:ascii="仿宋" w:hAnsi="仿宋" w:eastAsia="仿宋" w:cs="仿宋"/>
          <w:b w:val="0"/>
          <w:bCs w:val="0"/>
          <w:color w:val="auto"/>
          <w:sz w:val="21"/>
          <w:szCs w:val="21"/>
          <w:highlight w:val="none"/>
        </w:rPr>
        <w:t xml:space="preserve">9、</w:t>
      </w:r>
      <w:r>
        <w:rPr>
          <w:rFonts w:hint="eastAsia" w:ascii="仿宋" w:hAnsi="仿宋" w:eastAsia="仿宋" w:cs="仿宋"/>
          <w:color w:val="auto"/>
          <w:sz w:val="21"/>
          <w:szCs w:val="21"/>
          <w:highlight w:val="none"/>
          <w:shd w:val="clear" w:color="auto" w:fill="ffffff"/>
        </w:rPr>
        <w:t xml:space="preserve">政府采购履约资金扶持政策  </w:t>
      </w:r>
      <w:r/>
    </w:p>
    <w:p>
      <w:pPr>
        <w:numPr>
          <w:ilvl w:val="1"/>
          <w:numId w:val="0"/>
        </w:numPr>
        <w:ind w:firstLine="420"/>
        <w:keepLines w:val="0"/>
        <w:keepNext w:val="0"/>
        <w:pageBreakBefore w:val="0"/>
        <w:spacing w:line="360" w:lineRule="auto"/>
        <w:rPr>
          <w:rStyle w:val="984"/>
          <w:rFonts w:hint="eastAsia" w:ascii="仿宋" w:hAnsi="仿宋" w:eastAsia="仿宋" w:cs="仿宋"/>
          <w:b w:val="0"/>
          <w:bCs w:val="0"/>
          <w:color w:val="auto"/>
          <w:sz w:val="21"/>
          <w:szCs w:val="21"/>
          <w:highlight w:val="none"/>
        </w:rPr>
        <w:outlineLvl w:val="1"/>
      </w:pPr>
      <w:r>
        <w:rPr>
          <w:rFonts w:hint="eastAsia" w:ascii="仿宋" w:hAnsi="仿宋" w:eastAsia="仿宋" w:cs="仿宋"/>
          <w:color w:val="auto"/>
          <w:sz w:val="21"/>
          <w:szCs w:val="21"/>
          <w:highlight w:val="none"/>
          <w:shd w:val="clear" w:color="auto" w:fill="ffffff"/>
        </w:rPr>
        <w:t xml:space="preserve">中标供应商可凭政府采购合同办理融资贷款，详情请见江苏政府采购网“政采贷”专栏。</w:t>
      </w:r>
      <w:r/>
    </w:p>
    <w:p>
      <w:pPr>
        <w:ind w:firstLine="422"/>
        <w:jc w:val="both"/>
        <w:keepLines w:val="0"/>
        <w:keepNext w:val="0"/>
        <w:pageBreakBefore w:val="0"/>
        <w:spacing w:line="360" w:lineRule="auto"/>
        <w:widowControl w:val="off"/>
        <w:rPr>
          <w:rStyle w:val="984"/>
          <w:rFonts w:hint="default" w:ascii="仿宋" w:hAnsi="仿宋" w:eastAsia="仿宋" w:cs="仿宋"/>
          <w:b/>
          <w:bCs/>
          <w:color w:val="auto"/>
          <w:sz w:val="21"/>
          <w:szCs w:val="21"/>
          <w:highlight w:val="none"/>
          <w:lang w:val="en-US" w:eastAsia="zh-CN"/>
        </w:rPr>
      </w:pPr>
      <w:r>
        <w:rPr>
          <w:rStyle w:val="984"/>
          <w:rFonts w:hint="eastAsia" w:ascii="仿宋" w:hAnsi="仿宋" w:eastAsia="仿宋" w:cs="仿宋"/>
          <w:b/>
          <w:bCs/>
          <w:color w:val="auto"/>
          <w:sz w:val="21"/>
          <w:szCs w:val="21"/>
          <w:highlight w:val="none"/>
          <w:lang w:val="en-US" w:eastAsia="zh-CN"/>
        </w:rPr>
        <w:t xml:space="preserve">10、</w:t>
      </w:r>
      <w:r>
        <w:rPr>
          <w:rFonts w:hint="eastAsia" w:ascii="仿宋" w:hAnsi="仿宋" w:eastAsia="仿宋" w:cs="仿宋"/>
          <w:b/>
          <w:bCs/>
          <w:color w:val="auto"/>
          <w:sz w:val="21"/>
          <w:szCs w:val="21"/>
          <w:highlight w:val="none"/>
          <w:lang w:val="en-US" w:eastAsia="zh-CN" w:bidi="ar-SA"/>
        </w:rPr>
        <w:t xml:space="preserve">本项目允许投标单位报名多个采购包，投标单位根据各采购包分别制作投标文件，但一个投标人最多只能就其中一个标段中标，开标顺序为先一标段后二标段。每个标段中标人为一名，按先开先中的原则，确定投标人的中标标段。已中标的投标人在后面的标段中失去得标权，由该标段具有得标权且评标总得分最高的投标人为该标段中标人。</w:t>
      </w:r>
      <w:r/>
    </w:p>
    <w:p>
      <w:pPr>
        <w:pStyle w:val="949"/>
        <w:numPr>
          <w:ilvl w:val="1"/>
          <w:numId w:val="0"/>
        </w:numPr>
        <w:ind w:firstLine="422"/>
        <w:keepLines w:val="0"/>
        <w:keepNext w:val="0"/>
        <w:spacing w:before="0" w:after="0" w:line="360" w:lineRule="auto"/>
        <w:rPr>
          <w:rFonts w:ascii="仿宋" w:hAnsi="仿宋" w:eastAsia="仿宋" w:cs="仿宋"/>
          <w:color w:val="auto"/>
          <w:sz w:val="21"/>
          <w:szCs w:val="21"/>
          <w:highlight w:val="none"/>
        </w:rPr>
      </w:pPr>
      <w:r>
        <w:rPr>
          <w:rStyle w:val="984"/>
          <w:rFonts w:hint="eastAsia" w:ascii="仿宋" w:hAnsi="仿宋" w:eastAsia="仿宋" w:cs="仿宋"/>
          <w:b/>
          <w:bCs/>
          <w:color w:val="auto"/>
          <w:sz w:val="21"/>
          <w:szCs w:val="21"/>
          <w:highlight w:val="none"/>
        </w:rPr>
        <w:t xml:space="preserve">七、对本次招标提出询问，请按以下方式联系</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1.采购人信息 </w:t>
      </w:r>
      <w:r/>
    </w:p>
    <w:p>
      <w:pPr>
        <w:pStyle w:val="978"/>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单位名称：</w:t>
      </w:r>
      <w:r>
        <w:rPr>
          <w:rFonts w:hint="eastAsia" w:ascii="仿宋" w:hAnsi="仿宋" w:eastAsia="仿宋" w:cs="仿宋"/>
          <w:color w:val="auto"/>
          <w:sz w:val="21"/>
          <w:szCs w:val="21"/>
          <w:highlight w:val="none"/>
          <w:lang w:eastAsia="zh-CN"/>
        </w:rPr>
        <w:t xml:space="preserve">太仓市浮桥镇人民政府</w:t>
      </w:r>
      <w:r/>
    </w:p>
    <w:p>
      <w:pPr>
        <w:pStyle w:val="978"/>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单位地址：</w:t>
      </w:r>
      <w:r>
        <w:rPr>
          <w:rFonts w:hint="eastAsia" w:ascii="仿宋" w:hAnsi="仿宋" w:eastAsia="仿宋" w:cs="仿宋"/>
          <w:color w:val="auto"/>
          <w:sz w:val="21"/>
          <w:szCs w:val="21"/>
          <w:highlight w:val="none"/>
          <w:lang w:eastAsia="zh-CN"/>
        </w:rPr>
        <w:t xml:space="preserve">苏州市太仓市浮桥镇北环路12号</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w:t>
      </w:r>
      <w:r>
        <w:rPr>
          <w:rFonts w:hint="eastAsia" w:ascii="仿宋" w:hAnsi="仿宋" w:eastAsia="仿宋" w:cs="仿宋"/>
          <w:color w:val="auto"/>
          <w:sz w:val="21"/>
          <w:szCs w:val="21"/>
          <w:highlight w:val="none"/>
          <w:lang w:eastAsia="zh-CN"/>
        </w:rPr>
        <w:t xml:space="preserve">陆建雄</w:t>
      </w:r>
      <w:r>
        <w:rPr>
          <w:rFonts w:hint="eastAsia" w:ascii="仿宋" w:hAnsi="仿宋" w:eastAsia="仿宋" w:cs="仿宋"/>
          <w:color w:val="auto"/>
          <w:sz w:val="21"/>
          <w:szCs w:val="21"/>
          <w:highlight w:val="none"/>
        </w:rPr>
        <w:t xml:space="preserve"> </w:t>
      </w:r>
      <w:r/>
    </w:p>
    <w:p>
      <w:pPr>
        <w:pStyle w:val="978"/>
        <w:ind w:firstLine="420"/>
        <w:spacing w:beforeAutospacing="0" w:afterAutospacing="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联系电话：</w:t>
      </w:r>
      <w:r>
        <w:rPr>
          <w:rFonts w:hint="eastAsia" w:ascii="仿宋" w:hAnsi="仿宋" w:eastAsia="仿宋" w:cs="仿宋"/>
          <w:color w:val="auto"/>
          <w:sz w:val="21"/>
          <w:szCs w:val="21"/>
          <w:highlight w:val="none"/>
          <w:lang w:eastAsia="zh-CN"/>
        </w:rPr>
        <w:t xml:space="preserve"> </w:t>
      </w:r>
      <w:r>
        <w:rPr>
          <w:rFonts w:hint="eastAsia" w:ascii="仿宋" w:hAnsi="仿宋" w:eastAsia="仿宋" w:cs="仿宋"/>
          <w:color w:val="auto"/>
          <w:sz w:val="21"/>
          <w:szCs w:val="21"/>
          <w:highlight w:val="none"/>
          <w:lang w:val="en-US" w:eastAsia="zh-CN"/>
        </w:rPr>
        <w:t xml:space="preserve">13862384743</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2.采购代理机构信息（如有）</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单位名称：苏州泰至鑫项目管理有限公司</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单位地址：太仓市娄东街道上海东路333号1002室</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联系人：顾孙英</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联系电话：13145086180</w:t>
      </w:r>
      <w:r/>
    </w:p>
    <w:p>
      <w:pPr>
        <w:pStyle w:val="978"/>
        <w:ind w:firstLine="420"/>
        <w:spacing w:beforeAutospacing="0" w:afterAutospacing="0"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3.项目联系方式</w:t>
      </w:r>
      <w:r/>
    </w:p>
    <w:p>
      <w:pPr>
        <w:ind w:firstLine="420"/>
        <w:jc w:val="both"/>
        <w:spacing w:line="360" w:lineRule="auto"/>
        <w:rPr>
          <w:rFonts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顾孙英 联系电话：13145086180</w:t>
      </w:r>
      <w:r/>
    </w:p>
    <w:p>
      <w:pPr>
        <w:ind w:firstLine="422"/>
        <w:jc w:val="both"/>
        <w:spacing w:line="360" w:lineRule="auto"/>
        <w:rPr>
          <w:rStyle w:val="990"/>
          <w:rFonts w:ascii="宋体" w:hAnsi="宋体" w:eastAsia="宋体" w:cs="宋体"/>
          <w:color w:val="auto"/>
          <w:sz w:val="32"/>
          <w:szCs w:val="32"/>
          <w:highlight w:val="none"/>
        </w:rPr>
      </w:pPr>
      <w:r>
        <w:rPr>
          <w:rStyle w:val="984"/>
          <w:rFonts w:hint="eastAsia" w:ascii="仿宋" w:hAnsi="仿宋" w:eastAsia="仿宋" w:cs="仿宋"/>
          <w:color w:val="auto"/>
          <w:sz w:val="21"/>
          <w:szCs w:val="21"/>
          <w:highlight w:val="none"/>
        </w:rPr>
        <w:t xml:space="preserve">有关电子投标制作技术疑问，请咨询苏采云软件公司客服：18261002950、0512-69820854、0519-86722802，政府采购监督电话：0512-53512539</w:t>
      </w:r>
      <w:bookmarkStart w:id="2" w:name="_Toc15584"/>
      <w:r/>
      <w:r/>
    </w:p>
    <w:p>
      <w:pPr>
        <w:jc w:val="both"/>
        <w:widowControl w:val="off"/>
        <w:rPr>
          <w:rStyle w:val="990"/>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widowControl w:val="off"/>
        <w:rPr>
          <w:rStyle w:val="990"/>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widowControl w:val="off"/>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90"/>
          <w:rFonts w:ascii="宋体" w:hAnsi="宋体" w:eastAsia="宋体" w:cs="宋体"/>
          <w:color w:val="auto"/>
          <w:sz w:val="32"/>
          <w:szCs w:val="32"/>
          <w:highlight w:val="none"/>
        </w:rPr>
      </w:pPr>
      <w:r>
        <w:rPr>
          <w:rStyle w:val="990"/>
          <w:rFonts w:hint="eastAsia" w:ascii="宋体" w:hAnsi="宋体" w:eastAsia="宋体" w:cs="宋体"/>
          <w:color w:val="auto"/>
          <w:sz w:val="32"/>
          <w:szCs w:val="32"/>
          <w:highlight w:val="none"/>
        </w:rPr>
        <w:t xml:space="preserve">第二章 投标人须知</w:t>
      </w:r>
      <w:bookmarkEnd w:id="2"/>
      <w:r/>
      <w:r/>
    </w:p>
    <w:p>
      <w:pPr>
        <w:jc w:val="both"/>
        <w:widowControl w:val="off"/>
        <w:rPr>
          <w:rFonts w:ascii="宋体" w:hAnsi="宋体" w:cs="宋体"/>
          <w:b/>
          <w:bCs/>
          <w:color w:val="auto"/>
          <w:highlight w:val="none"/>
        </w:rPr>
      </w:pPr>
      <w:r>
        <w:rPr>
          <w:rFonts w:ascii="宋体" w:hAnsi="宋体" w:cs="宋体"/>
          <w:b/>
          <w:bCs/>
          <w:color w:val="auto"/>
          <w:highlight w:val="none"/>
        </w:rPr>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rPr>
        <w:t xml:space="preserve">服务地点：合同中明确约定的服务项目所在地。</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本次招标不接受联合投标。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投标文件的组成和顺序</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13.1.1 开标一览表（系统内直接填写）；</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13.2 资格性、符合性、技术、商务部分：</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13.2.1资格证明文件部分：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13.2.1.1具有独立承担民事责任的能力：提供投标单位营业执照及法定代表人身份证扫描件或自然人的身份证明、授权委托书（如有授权）、被授权人身份证（如有授权）、关于资格文件的声明函、投标人基本情况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13.2.1.2具有良好的商业信誉和健全的财务会计制度：提供参加本次政府采购活动前的财务状况报告或者银行出具的资信证明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13.2.1.3具有履行合同所必需的设备和专业技术能力：提供履行合同所必需的设备和专业技术能力的证明材料或书面声明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13.2.1.4具有依法缴纳税收和社会保障资金的良好记录：提供参加本次政府采购活动前半年任意一个月份依法缴纳税收和社会保障资金的证明材料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13.2.1.5参加政府采购活动前三年内，在经营活动中没有重大违法记录：提供参加本次政府采购活动前3年内在经营活动中没有重大违法记录的书面声明（详见投标文件格式）；</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13.2.1.6</w:t>
      </w:r>
      <w:r>
        <w:rPr>
          <w:rFonts w:hint="eastAsia" w:ascii="宋体" w:hAnsi="宋体" w:eastAsia="宋体" w:cs="宋体"/>
          <w:b w:val="0"/>
          <w:bCs w:val="0"/>
          <w:color w:val="auto"/>
          <w:sz w:val="21"/>
          <w:szCs w:val="21"/>
          <w:highlight w:val="none"/>
        </w:rPr>
        <w:t xml:space="preserve">法律、行政法规规定的其他条件</w:t>
      </w:r>
      <w:r/>
    </w:p>
    <w:p>
      <w:pPr>
        <w:ind w:firstLine="420"/>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特定资格条件，投标人证明其符合招标文件规定的投标人特定资格条件的证书、证明和文件材料；（如有）</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13.2.2 符合性审查文件部分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13.2.2.1服务条款偏离表（详见投标文件格式）；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13.2.2.2商务条款偏离表（详见投标文件格式）；</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13.2.3技术及商务部分（投标人视各自的情况按评审要求自行编制）</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13.2.3.1相关业绩一览表及相关证明材料（详见投标文件格式）；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13.2.3.2相关证书一览表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13.2.3.3投入本项目技术（服务）人员一览表及相关证明材料（详见投标文件格式）；</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13.2.3.4项目的技术及服务方案等；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13.2.3.5招标文件及评分标准中要求提供的其他相关材料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13.2.3.6其他需投标人对本次投标的详细说明（投标人视各自的情况自行编制）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13.2.4 价格折扣文件（本项目为专门面向中小微企业采购的项目，小微企业参与本项目的不享受价格扣除优惠政策）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13.2.4.1 中小企业声明函</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13.2.4.2残疾人福利性单位声明函（如有）；</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13.2.4.3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14.1电子投标文件编制要求：</w:t>
      </w:r>
      <w:r>
        <w:rPr>
          <w:rFonts w:hint="eastAsia" w:ascii="宋体" w:hAnsi="宋体" w:cs="宋体"/>
          <w:color w:val="auto"/>
          <w:sz w:val="21"/>
          <w:szCs w:val="21"/>
          <w:highlight w:val="none"/>
        </w:rPr>
        <w:t xml:space="preserve">投标人应使用</w:t>
      </w:r>
      <w:r>
        <w:rPr>
          <w:rFonts w:hint="eastAsia" w:ascii="宋体" w:hAnsi="宋体" w:cs="宋体"/>
          <w:b/>
          <w:color w:val="auto"/>
          <w:sz w:val="21"/>
          <w:szCs w:val="21"/>
          <w:highlight w:val="none"/>
        </w:rPr>
        <w:t xml:space="preserve">招标文件要求的投标文件制作软件制作电子投标文件</w:t>
      </w:r>
      <w:r>
        <w:rPr>
          <w:rFonts w:hint="eastAsia" w:ascii="宋体" w:hAnsi="宋体" w:cs="宋体"/>
          <w:color w:val="auto"/>
          <w:sz w:val="21"/>
          <w:szCs w:val="21"/>
          <w:highlight w:val="none"/>
        </w:rPr>
        <w:t xml:space="preserve">，电子投标文件按招标文件规定的格式制作，如果未按要求制作上传，可能导致投标无效。</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cs="宋体"/>
          <w:color w:val="auto"/>
          <w:sz w:val="21"/>
          <w:szCs w:val="21"/>
          <w:highlight w:val="none"/>
        </w:rPr>
        <w:t xml:space="preserve">15.1除非合同中另有规定，</w:t>
      </w:r>
      <w:r>
        <w:rPr>
          <w:rFonts w:hint="eastAsia" w:ascii="宋体" w:hAnsi="宋体" w:cs="宋体"/>
          <w:color w:val="auto"/>
          <w:sz w:val="21"/>
          <w:szCs w:val="21"/>
          <w:highlight w:val="none"/>
          <w:lang w:val="zh-CN"/>
        </w:rPr>
        <w:t xml:space="preserve">投标报</w:t>
      </w:r>
      <w:r>
        <w:rPr>
          <w:rFonts w:hint="eastAsia" w:ascii="宋体" w:hAnsi="宋体" w:eastAsia="宋体" w:cs="宋体"/>
          <w:color w:val="auto"/>
          <w:sz w:val="21"/>
          <w:szCs w:val="21"/>
          <w:highlight w:val="none"/>
        </w:rPr>
        <w:t xml:space="preserve">应包括完成该项工作所需的人工（包括工资、奖金、社保、正常节假日的加班费、人员餐费及完成标书合同规定服务内容发生的延时加班等费用）、</w:t>
      </w:r>
      <w:r>
        <w:rPr>
          <w:rFonts w:hint="eastAsia" w:ascii="宋体" w:hAnsi="宋体" w:eastAsia="宋体" w:cs="Times New Roman"/>
          <w:color w:val="auto"/>
          <w:sz w:val="21"/>
          <w:szCs w:val="21"/>
          <w:highlight w:val="none"/>
          <w:lang w:val="zh-CN" w:eastAsia="zh-CN" w:bidi="ar-SA"/>
        </w:rPr>
        <w:t xml:space="preserve">配件费用、车辆费用、运行管理、设备维护、保险、利润、税金、政策性文件规定及合同包含的所有风险、责任等各项应有费用。除合同另行规定以外，采购单位不再支付任何其他费用。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21.2</w:t>
      </w:r>
      <w:r>
        <w:rPr>
          <w:rFonts w:hint="eastAsia" w:ascii="宋体" w:hAnsi="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rPr>
        <w:t xml:space="preserve">及</w:t>
      </w:r>
      <w:r>
        <w:rPr>
          <w:rFonts w:ascii="宋体" w:hAnsi="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pStyle w:val="97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1"/>
          <w:szCs w:val="21"/>
          <w:highlight w:val="none"/>
          <w:lang w:val="zh-CN"/>
        </w:rPr>
        <w:t xml:space="preserve">24.7</w:t>
      </w:r>
      <w:r>
        <w:rPr>
          <w:rFonts w:hint="eastAsia" w:ascii="宋体" w:hAnsi="宋体" w:eastAsia="宋体" w:cs="宋体"/>
          <w:i w:val="0"/>
          <w:iCs w:val="0"/>
          <w:caps w:val="0"/>
          <w:color w:val="auto"/>
          <w:spacing w:val="0"/>
          <w:sz w:val="21"/>
          <w:szCs w:val="21"/>
          <w:highlight w:val="none"/>
          <w:shd w:val="clear" w:color="auto" w:fill="ffffff"/>
        </w:rPr>
        <w:t xml:space="preserve">异常低价</w:t>
      </w:r>
      <w:r/>
    </w:p>
    <w:p>
      <w:pPr>
        <w:pStyle w:val="978"/>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color w:val="auto"/>
          <w:sz w:val="21"/>
          <w:szCs w:val="21"/>
          <w:highlight w:val="none"/>
          <w:lang w:val="en-US" w:eastAsia="zh-CN"/>
        </w:rPr>
        <w:t xml:space="preserve">24.7.1</w:t>
      </w:r>
      <w:r>
        <w:rPr>
          <w:rFonts w:hint="eastAsia" w:ascii="宋体" w:hAnsi="宋体" w:eastAsia="宋体" w:cs="宋体"/>
          <w:b w:val="0"/>
          <w:bCs/>
          <w:i w:val="0"/>
          <w:iCs w:val="0"/>
          <w:caps w:val="0"/>
          <w:color w:val="auto"/>
          <w:spacing w:val="0"/>
          <w:sz w:val="21"/>
          <w:szCs w:val="21"/>
          <w:highlight w:val="none"/>
          <w:shd w:val="clear" w:color="auto" w:fill="ffffff"/>
        </w:rPr>
        <w:t xml:space="preserve">政府</w:t>
      </w:r>
      <w:r>
        <w:rPr>
          <w:rFonts w:hint="eastAsia" w:ascii="宋体" w:hAnsi="宋体" w:eastAsia="宋体" w:cs="宋体"/>
          <w:i w:val="0"/>
          <w:iCs w:val="0"/>
          <w:caps w:val="0"/>
          <w:color w:val="auto"/>
          <w:spacing w:val="0"/>
          <w:sz w:val="21"/>
          <w:szCs w:val="21"/>
          <w:highlight w:val="none"/>
          <w:shd w:val="clear" w:color="auto" w:fill="ffffff"/>
        </w:rPr>
        <w:t xml:space="preserve">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24.7.1.4评审委员会基于专业判断，认为供应商报价过低，有可能影响产品质量或者不能诚信履约的其他情形。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24.7.3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不具备招标文件中规定的资格要求的；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报价超过招标文件中规定的预算金额或者最高限价的；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26.1.4不同投标人的投标文件使用同一台电脑编制的；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投标文件含有招标人不能接受的附加条件的；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33、代理服务费</w:t>
      </w:r>
      <w:r/>
    </w:p>
    <w:p>
      <w:pPr>
        <w:ind w:firstLine="420"/>
        <w:jc w:val="both"/>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由采购人支付</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pStyle w:val="989"/>
        <w:jc w:val="center"/>
        <w:rPr>
          <w:rStyle w:val="990"/>
          <w:rFonts w:ascii="宋体" w:hAnsi="宋体" w:eastAsia="宋体" w:cs="宋体"/>
          <w:color w:val="auto"/>
          <w:sz w:val="32"/>
          <w:szCs w:val="32"/>
          <w:highlight w:val="none"/>
        </w:rPr>
      </w:pPr>
      <w:r/>
      <w:bookmarkStart w:id="4" w:name="_Toc28477"/>
      <w:r/>
      <w:r/>
    </w:p>
    <w:p>
      <w:pPr>
        <w:pStyle w:val="989"/>
        <w:jc w:val="center"/>
        <w:rPr>
          <w:rStyle w:val="990"/>
          <w:rFonts w:ascii="宋体" w:hAnsi="宋体" w:eastAsia="宋体" w:cs="宋体"/>
          <w:color w:val="auto"/>
          <w:sz w:val="32"/>
          <w:szCs w:val="32"/>
          <w:highlight w:val="none"/>
        </w:rPr>
      </w:pPr>
      <w:r/>
      <w:bookmarkStart w:id="30" w:name="_GoBack"/>
      <w:r/>
      <w:bookmarkEnd w:id="30"/>
      <w:r/>
      <w:r/>
    </w:p>
    <w:p>
      <w:pPr>
        <w:pStyle w:val="989"/>
        <w:ind w:firstLine="0"/>
        <w:jc w:val="both"/>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both"/>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rStyle w:val="990"/>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89"/>
        <w:ind w:firstLine="0"/>
        <w:jc w:val="center"/>
        <w:rPr>
          <w:color w:val="auto"/>
          <w:highlight w:val="none"/>
        </w:rPr>
      </w:pPr>
      <w:r>
        <w:rPr>
          <w:rStyle w:val="990"/>
          <w:rFonts w:hint="eastAsia" w:ascii="宋体" w:hAnsi="宋体" w:eastAsia="宋体" w:cs="宋体"/>
          <w:color w:val="auto"/>
          <w:sz w:val="32"/>
          <w:szCs w:val="32"/>
          <w:highlight w:val="none"/>
        </w:rPr>
        <w:t xml:space="preserve">第三章 </w:t>
      </w:r>
      <w:bookmarkEnd w:id="4"/>
      <w:r>
        <w:rPr>
          <w:rStyle w:val="990"/>
          <w:rFonts w:hint="eastAsia" w:ascii="宋体" w:hAnsi="宋体" w:eastAsia="宋体" w:cs="宋体"/>
          <w:color w:val="auto"/>
          <w:sz w:val="32"/>
          <w:szCs w:val="32"/>
          <w:highlight w:val="none"/>
        </w:rPr>
        <w:t xml:space="preserve">项目需求</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太仓市浮桥镇人民政府</w:t>
      </w:r>
      <w:r>
        <w:rPr>
          <w:rFonts w:hint="eastAsia" w:ascii="宋体" w:hAnsi="宋体" w:cs="宋体"/>
          <w:color w:val="auto"/>
          <w:sz w:val="21"/>
          <w:szCs w:val="21"/>
          <w:highlight w:val="none"/>
        </w:rPr>
        <w:t xml:space="preserve">之委托，苏州泰至鑫项目管理有限公司作为招标代理机构，对其拟采购的“</w:t>
      </w:r>
      <w:r>
        <w:rPr>
          <w:rFonts w:hint="eastAsia" w:ascii="宋体" w:hAnsi="宋体" w:cs="宋体"/>
          <w:color w:val="auto"/>
          <w:sz w:val="21"/>
          <w:szCs w:val="21"/>
          <w:highlight w:val="none"/>
          <w:lang w:eastAsia="zh-CN"/>
        </w:rPr>
        <w:t xml:space="preserve">环卫所车辆维修服务</w:t>
      </w:r>
      <w:r>
        <w:rPr>
          <w:rFonts w:hint="eastAsia" w:ascii="宋体" w:hAnsi="宋体" w:cs="宋体"/>
          <w:color w:val="auto"/>
          <w:sz w:val="21"/>
          <w:szCs w:val="21"/>
          <w:highlight w:val="none"/>
        </w:rPr>
        <w:t xml:space="preserve">”进行国内公开招标。欢迎符合资格条件的供应商前来报名参加投标。</w:t>
      </w:r>
      <w:r/>
    </w:p>
    <w:p>
      <w:pPr>
        <w:pStyle w:val="962"/>
        <w:ind w:firstLine="420"/>
        <w:keepLines w:val="0"/>
        <w:keepNext w:val="0"/>
        <w:pageBreakBefore w:val="0"/>
        <w:spacing w:line="360" w:lineRule="auto"/>
        <w:widowControl/>
        <w:rPr>
          <w:color w:val="auto"/>
          <w:highlight w:val="none"/>
        </w:rPr>
      </w:pPr>
      <w:r>
        <w:rPr>
          <w:rFonts w:hint="eastAsia" w:ascii="宋体" w:hAnsi="宋体" w:cs="宋体"/>
          <w:color w:val="auto"/>
          <w:sz w:val="21"/>
          <w:szCs w:val="21"/>
          <w:highlight w:val="none"/>
        </w:rPr>
        <w:t xml:space="preserve">一、项目概况</w:t>
      </w:r>
      <w:r/>
    </w:p>
    <w:p>
      <w:pPr>
        <w:ind w:firstLine="420"/>
        <w:keepLines w:val="0"/>
        <w:keepNext w:val="0"/>
        <w:pageBreakBefore w:val="0"/>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w:t>
      </w:r>
      <w:r>
        <w:rPr>
          <w:rFonts w:hint="eastAsia" w:ascii="宋体" w:hAnsi="宋体" w:eastAsia="宋体" w:cs="宋体"/>
          <w:bCs/>
          <w:color w:val="auto"/>
          <w:sz w:val="21"/>
          <w:szCs w:val="21"/>
          <w:highlight w:val="none"/>
          <w:lang w:val="zh-CN"/>
        </w:rPr>
        <w:t xml:space="preserve">招标编号：</w:t>
      </w:r>
      <w:r>
        <w:rPr>
          <w:rFonts w:hint="eastAsia" w:ascii="宋体" w:hAnsi="宋体" w:cs="宋体"/>
          <w:bCs/>
          <w:color w:val="auto"/>
          <w:sz w:val="21"/>
          <w:szCs w:val="21"/>
          <w:highlight w:val="none"/>
          <w:lang w:val="zh-CN"/>
        </w:rPr>
        <w:t xml:space="preserve">JSZC-320585-SZTZ-G2026-0009</w:t>
      </w:r>
      <w:r/>
    </w:p>
    <w:p>
      <w:pPr>
        <w:ind w:firstLine="420"/>
        <w:keepLines w:val="0"/>
        <w:keepNext w:val="0"/>
        <w:pageBreakBefore w:val="0"/>
        <w:spacing w:line="360" w:lineRule="auto"/>
        <w:widowControl/>
        <w:tabs>
          <w:tab w:val="left" w:pos="3600" w:leader="none"/>
        </w:tabs>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2、</w:t>
      </w:r>
      <w:r>
        <w:rPr>
          <w:rFonts w:hint="eastAsia" w:ascii="宋体" w:hAnsi="宋体" w:eastAsia="宋体" w:cs="宋体"/>
          <w:bCs/>
          <w:color w:val="auto"/>
          <w:sz w:val="21"/>
          <w:szCs w:val="21"/>
          <w:highlight w:val="none"/>
          <w:lang w:val="zh-CN"/>
        </w:rPr>
        <w:t xml:space="preserve">项目名称：</w:t>
      </w:r>
      <w:r>
        <w:rPr>
          <w:rFonts w:hint="eastAsia" w:ascii="宋体" w:hAnsi="宋体" w:eastAsia="宋体" w:cs="宋体"/>
          <w:bCs/>
          <w:color w:val="auto"/>
          <w:sz w:val="21"/>
          <w:szCs w:val="21"/>
          <w:highlight w:val="none"/>
          <w:lang w:eastAsia="zh-CN"/>
        </w:rPr>
        <w:t xml:space="preserve">环卫所车辆维修服务</w:t>
      </w:r>
      <w:r/>
    </w:p>
    <w:p>
      <w:pPr>
        <w:pStyle w:val="978"/>
        <w:ind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260.000000万元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采购包1:200.000000万元；采购包2:60.000000万元</w:t>
      </w:r>
      <w:r>
        <w:rPr>
          <w:rFonts w:hint="eastAsia" w:ascii="宋体" w:hAnsi="宋体" w:eastAsia="宋体" w:cs="宋体"/>
          <w:color w:val="auto"/>
          <w:sz w:val="21"/>
          <w:szCs w:val="21"/>
          <w:highlight w:val="none"/>
          <w:lang w:eastAsia="zh-CN"/>
        </w:rPr>
        <w:t xml:space="preserve">）</w:t>
      </w:r>
      <w:r/>
    </w:p>
    <w:p>
      <w:pPr>
        <w:pStyle w:val="978"/>
        <w:ind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最高限价（如有）：</w:t>
      </w:r>
      <w:r>
        <w:rPr>
          <w:rFonts w:hint="eastAsia" w:ascii="宋体" w:hAnsi="宋体" w:eastAsia="宋体" w:cs="宋体"/>
          <w:color w:val="auto"/>
          <w:sz w:val="21"/>
          <w:szCs w:val="21"/>
          <w:highlight w:val="none"/>
          <w:lang w:val="en-US" w:eastAsia="zh-CN"/>
        </w:rPr>
        <w:t xml:space="preserve">260.000000万元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采购包1:200.000000万元；采购包2:60.000000万元</w:t>
      </w:r>
      <w:r>
        <w:rPr>
          <w:rFonts w:hint="eastAsia" w:ascii="宋体" w:hAnsi="宋体" w:eastAsia="宋体" w:cs="宋体"/>
          <w:color w:val="auto"/>
          <w:sz w:val="21"/>
          <w:szCs w:val="21"/>
          <w:highlight w:val="none"/>
          <w:lang w:eastAsia="zh-CN"/>
        </w:rPr>
        <w:t xml:space="preserve">）</w:t>
      </w:r>
      <w:r/>
    </w:p>
    <w:p>
      <w:pPr>
        <w:pStyle w:val="978"/>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合同履行期限：</w:t>
      </w:r>
      <w:r>
        <w:rPr>
          <w:rFonts w:hint="eastAsia" w:ascii="宋体" w:hAnsi="宋体" w:eastAsia="宋体" w:cs="宋体"/>
          <w:bCs/>
          <w:color w:val="auto"/>
          <w:sz w:val="21"/>
          <w:szCs w:val="21"/>
          <w:highlight w:val="none"/>
          <w:lang w:val="en-US" w:eastAsia="zh-CN"/>
        </w:rPr>
        <w:t xml:space="preserve">自合同签订之日起一年或项目结算金额达到预算金额为止，具体以采购人要求为准。</w:t>
      </w:r>
      <w:r/>
    </w:p>
    <w:p>
      <w:pPr>
        <w:pStyle w:val="978"/>
        <w:ind w:firstLine="420"/>
        <w:keepLines w:val="0"/>
        <w:keepNext w:val="0"/>
        <w:pageBreakBefore w:val="0"/>
        <w:spacing w:beforeAutospacing="0" w:afterAutospacing="0" w:line="360" w:lineRule="auto"/>
        <w:widowControl/>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6、服务地点：采购方指定</w:t>
      </w:r>
      <w:r/>
    </w:p>
    <w:p>
      <w:pPr>
        <w:contextualSpacing/>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二、采购内容</w:t>
      </w:r>
      <w:r>
        <w:rPr>
          <w:rFonts w:hint="eastAsia" w:ascii="宋体" w:hAnsi="宋体" w:eastAsia="宋体" w:cs="宋体"/>
          <w:color w:val="auto"/>
          <w:sz w:val="21"/>
          <w:szCs w:val="21"/>
          <w:highlight w:val="none"/>
          <w:lang w:val="en-US"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rPr>
        <w:t xml:space="preserve">为</w:t>
      </w:r>
      <w:r>
        <w:rPr>
          <w:rFonts w:hint="eastAsia" w:ascii="宋体" w:hAnsi="宋体" w:eastAsia="宋体" w:cs="宋体"/>
          <w:bCs/>
          <w:color w:val="auto"/>
          <w:sz w:val="21"/>
          <w:szCs w:val="21"/>
          <w:highlight w:val="none"/>
          <w:lang w:val="en-US" w:eastAsia="zh-CN" w:bidi="ar-SA"/>
        </w:rPr>
        <w:t xml:space="preserve">各标段</w:t>
      </w:r>
      <w:r>
        <w:rPr>
          <w:rFonts w:hint="eastAsia" w:ascii="宋体" w:hAnsi="宋体" w:eastAsia="宋体" w:cs="宋体"/>
          <w:bCs/>
          <w:color w:val="auto"/>
          <w:sz w:val="21"/>
          <w:szCs w:val="21"/>
          <w:highlight w:val="none"/>
          <w:lang w:val="zh-CN" w:eastAsia="zh-CN" w:bidi="ar-SA"/>
        </w:rPr>
        <w:t xml:space="preserve">采购单位提供车辆维修、保养服务，包括整车修理、总成修理、整车维护保养、二级维护、一级维护和小修、维修救援、专项修理、保养清洁和维修竣工检验工作、车辆年检服务、代办车辆事故处理（新购车辆免费维护保养不在本次招标项目范围之内）。</w:t>
      </w:r>
      <w:r>
        <w:rPr>
          <w:rFonts w:hint="eastAsia" w:ascii="宋体" w:hAnsi="宋体" w:eastAsia="宋体" w:cs="Times New Roman"/>
          <w:color w:val="auto"/>
          <w:sz w:val="21"/>
          <w:szCs w:val="21"/>
          <w:highlight w:val="none"/>
          <w:lang w:val="zh-CN" w:eastAsia="zh-CN" w:bidi="ar-SA"/>
        </w:rPr>
        <w:t xml:space="preserve">车辆明细详见合同附件。</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b/>
          <w:color w:val="auto"/>
          <w:sz w:val="21"/>
          <w:szCs w:val="21"/>
          <w:highlight w:val="none"/>
          <w:lang w:val="en-US" w:eastAsia="zh-CN" w:bidi="ar-SA"/>
        </w:rPr>
        <w:t xml:space="preserve">三</w:t>
      </w:r>
      <w:r>
        <w:rPr>
          <w:rFonts w:hint="eastAsia" w:ascii="宋体" w:hAnsi="宋体" w:eastAsia="宋体" w:cs="宋体"/>
          <w:b/>
          <w:color w:val="auto"/>
          <w:sz w:val="21"/>
          <w:szCs w:val="21"/>
          <w:highlight w:val="none"/>
          <w:lang w:val="zh-CN" w:eastAsia="zh-CN" w:bidi="ar-SA"/>
        </w:rPr>
        <w:t xml:space="preserve">、各车型易损易耗零配件及工时费最高限价</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（一）底盘配件材料价格</w:t>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①天锦底盘价格</w:t>
      </w:r>
      <w:r/>
    </w:p>
    <w:tbl>
      <w:tblPr>
        <w:tblStyle w:val="958"/>
        <w:tblW w:w="8132" w:type="dxa"/>
        <w:tblInd w:w="493" w:type="dxa"/>
        <w:tblLayout w:type="fixed"/>
        <w:tblCellMar>
          <w:left w:w="108" w:type="dxa"/>
          <w:top w:w="0" w:type="dxa"/>
          <w:right w:w="108" w:type="dxa"/>
          <w:bottom w:w="0" w:type="dxa"/>
        </w:tblCellMar>
        <w:tblLook w:val="04A0" w:firstRow="1" w:lastRow="0" w:firstColumn="1" w:lastColumn="0" w:noHBand="0" w:noVBand="1"/>
      </w:tblPr>
      <w:tblGrid>
        <w:gridCol w:w="997"/>
        <w:gridCol w:w="3685"/>
        <w:gridCol w:w="1140"/>
        <w:gridCol w:w="2310"/>
      </w:tblGrid>
      <w:tr>
        <w:trPr>
          <w:trHeight w:val="403"/>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 号</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 位</w:t>
            </w:r>
            <w:r/>
          </w:p>
        </w:tc>
        <w:tc>
          <w:tcPr>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前轮油封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前轮内轴承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前轮外轴承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前刹车片</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前挡泥板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大王针修理包</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267.3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前刹车调整臂</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前刹车分泵</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后轮内轴承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后轮外轴承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半轴油封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半轴垫</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后刹车片</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后挡泥板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168.3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后刹车调整臂</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后刹车凸轮轴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188.1</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后刹车调整臂</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411.84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后刹车分泵总成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334.62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刹车片支架销</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支架销衬套</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刹车片螺栓</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后钢板总成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1480.05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后副钢板总成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876.15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后轮毂</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668.25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大梁U型螺丝</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压盘总成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742.5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离合器片</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离合器总泵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离合器分泵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316.8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分离轴承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136.62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分离拨叉</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103.95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分离拨叉轴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导向轴承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拨叉轴衬套</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离合器分泵油管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组合拨叉轴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242.55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转速传感器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轮胎螺丝</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机油感应塞</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141.57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发动机水泵</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361.35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前大灯总成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584.1</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后尾灯总成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180.18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防雾灯</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收音机</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大灯泡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电子熄火器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296.01</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综合报警器总成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中央控制盒总成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463.32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保险盒</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刹车灯开关</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转速表传感器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106.92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水温传感器（电子）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水温传感器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节温器（电喷）</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187.11</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节温器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水位器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电子车速里程表传感器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里程表传感器座子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雨刮连动杆</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雨刮电机</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238.59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雨刮臂及挂刷总成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102.96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雨刮间歇继电器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雨刮喷嘴总成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倒车灯开关</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组合开关</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起动熄火器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278.19</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起动机总成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1724.58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起动继电器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喇叭</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1480.05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暖风机总成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823.68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暧风进水阀总成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水阀</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光鼓磨片</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刹车气管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方向机万向节</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传动轴十字节</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传动凸缘</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传动轴凸缘叉</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过桥总成（大）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173.25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一轴套管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一轴油封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308.88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消声器（加粗）</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308.88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163.35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排气管接头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138.6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水滤总成（大）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1222.65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冷凝器总成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门锁芯</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门锁总成（带保险）</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空气滤芯</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前轮壳</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差速器油封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燃油水分离器总成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270.27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油水分离器总成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205.92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燃油滤清器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108.9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后视镜支杆</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风扇带</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助力分泵（大）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361.35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三联件总成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188.1</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风扇座总成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组合皮带</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123.75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空气过滤组合三联件</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574.2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档位支座套</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档位橫卧式机构</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475.2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档位操纵杆总成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238.59</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飞轮总成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823.68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双向液压锁总成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1336.5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水箱盖</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驾驶室玻璃压条</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391.05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方向机修理包</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183.15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方向滤芯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方向助力泵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746.46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方向机总成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1999.8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动力转向泵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954.36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增压机总成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3346.2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1415.7</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车门锁体</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116.82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车门锁芯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升降机</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490.05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后视镜支杆-司机</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反光镜支架</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反光镜支架座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反光镜</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下视镜支架</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手油泵总成（电喷）</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490.05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空调压缩机</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1831.5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张紧轮</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进排气管金属软管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刹车软管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安全带</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档位卧式支座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右下踏板护板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脚踏板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减震器螺丝</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尿素直软管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气压调节阀</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103.95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手控阀</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183.15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吸盘销轴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113.85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喷架杆</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481.14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上下排挡固定支架</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180.18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排挡主连动支架总成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292.05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暖风水管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档位连接臂</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143.55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变速箱顶盖总成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1608.75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9702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前保险杠</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613.8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前保险杠右边板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前保险杠左边板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277.2</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驾驶室总成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31531.5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驾驶员座椅总成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876.15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座椅调整手柄总成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膜片式输油泵</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193.05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841.5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1311.75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活塞肖（6BTAA）</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193.05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活塞环</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694.98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曲轴瓦</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267.3</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连杆瓦</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凸轮轴齿衬套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tcBorders>
              <w:top w:val="singl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气缸垫</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singl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207.9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曲轴齿</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366.3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进气门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活塞销卡环</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机油滤清器座</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106.92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气门室罩</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227.7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飞轮齿圈</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702.9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气门推杆</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排气管垫</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缸体</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7425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气门导管</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进气门座圈</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挺杆体</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凸轮轴齿轮</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405.9</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挺杆室盖衬垫</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机油标尺总成</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133.65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3534.3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凸轮轴</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252.45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油底壳</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212.85</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缸盖总成（180-210马力）</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3148.2</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曲轴后油封</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154.44</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机油冷却器</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366.3</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气门油封(210马力)</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r>
      <w:tr>
        <w:trPr>
          <w:trHeight w:val="300"/>
        </w:trPr>
        <w:tc>
          <w:tcPr>
            <w:tcBorders>
              <w:top w:val="non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w:t>
            </w:r>
            <w:r/>
          </w:p>
        </w:tc>
        <w:tc>
          <w:tcPr>
            <w:tcBorders>
              <w:top w:val="none" w:color="000000" w:sz="4" w:space="0"/>
              <w:left w:val="non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机油泵</w:t>
            </w:r>
            <w:r/>
          </w:p>
        </w:tc>
        <w:tc>
          <w:tcPr>
            <w:tcBorders>
              <w:top w:val="non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411.84</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机油冷却器密封垫</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燃油回油管总成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倒档齿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341.55</w:t>
            </w:r>
            <w:r/>
          </w:p>
        </w:tc>
      </w:tr>
      <w:tr>
        <w:trPr>
          <w:trHeight w:val="300"/>
        </w:trPr>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排档连接杆</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238.59</w:t>
            </w:r>
            <w:r/>
          </w:p>
        </w:tc>
      </w:tr>
    </w:tbl>
    <w:p>
      <w:pPr>
        <w:jc w:val="both"/>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②五十铃底盘配件价格</w:t>
      </w:r>
      <w:r/>
    </w:p>
    <w:tbl>
      <w:tblPr>
        <w:tblStyle w:val="958"/>
        <w:tblW w:w="8130" w:type="dxa"/>
        <w:tblInd w:w="505" w:type="dxa"/>
        <w:tblLayout w:type="fixed"/>
        <w:tblCellMar>
          <w:left w:w="108" w:type="dxa"/>
          <w:top w:w="0" w:type="dxa"/>
          <w:right w:w="108" w:type="dxa"/>
          <w:bottom w:w="0" w:type="dxa"/>
        </w:tblCellMar>
        <w:tblLook w:val="04A0" w:firstRow="1" w:lastRow="0" w:firstColumn="1" w:lastColumn="0" w:noHBand="0" w:noVBand="1"/>
      </w:tblPr>
      <w:tblGrid>
        <w:gridCol w:w="995"/>
        <w:gridCol w:w="3632"/>
        <w:gridCol w:w="1059"/>
        <w:gridCol w:w="2444"/>
      </w:tblGrid>
      <w:tr>
        <w:trPr>
          <w:trHeight w:val="403"/>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 号</w:t>
            </w:r>
            <w:r/>
          </w:p>
        </w:tc>
        <w:tc>
          <w:tcPr>
            <w:tcBorders>
              <w:top w:val="singl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雾灯</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飞利浦大灯泡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飞利浦小灯泡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前大灯总成   RH</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568.46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前转向灯总成 RH</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205.82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后灯总成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室内灯总成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玻璃升降器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手动118.8、</w:t>
            </w:r>
            <w:r/>
          </w:p>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自动306.9</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左门玻璃 RH</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右门玻璃 RH</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前保险杠 白色</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前保险杠 加宽</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前刹车片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后刹车片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后轮轴承</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后轮油封</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前轮油封</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刹车鼓（前）</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287.10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刹车鼓（后）</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356.40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转向节</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刹车分泵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传动十字节</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半轴垫</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离合器分泵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分离轴承</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离合器压盘</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752.40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分离拨叉</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自动离合器轴承</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282.15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自动离合器摩擦片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811.80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离合器分离轴承连座</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742.50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离心离合器总成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转速传感器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飞轮总成</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405.90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右车门  LH</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左车门  RH</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910.80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变速箱总成</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7128.00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风扇皮带</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冷气机皮带</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冷气压缩泵</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1762.20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空调皮带轮</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转向节修理包</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万向节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传动轴(连前突缘）</w:t>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油箱传感器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起动机</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主机曲轴传感器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前后轮支架总成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504.90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液压油阀</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变速杆把手</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变档杆中继杆总成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450.45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变档杆防尘罩总成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轮胎螺丝</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导向轴承</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起动继电器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841.50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发电机调节器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发电机皮带</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曲轴传感器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光鼓摩片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机油感应塞</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113.85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手刹总成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712.80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隔膜水泵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变速箱后油封</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刹车气管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风扇皮带</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153.45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直拉杆总成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过桥总成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空气流量计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油门踏板连动机构</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刹车油管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继电器座</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传动轴吊架</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传动轴焊接叉</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水温表</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曲轴油封</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喷油器油嘴</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柴油滤芯</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空气流量计接头</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440.55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发动机大修包（整件套）</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活塞环</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活塞销</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缸套</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613.80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气缸床</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tcBorders>
              <w:top w:val="singl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油底壳垫</w:t>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168.30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预热塞</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曲轴止推瓦</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曲轴瓦</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连杆瓦</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机油滤芯</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门玻璃支架</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盆型电喇叭</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保险丝盒带线束总成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油箱</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油水分离器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雨刮臂  LH（专厂）</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散热网</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960.30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消声器（尾段）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消声器（中段）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3069.00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消声器（前之后）</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消声器（前之前）</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534.60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涡轮增压器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5148.00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机油滤清器总成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811.80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传动轴总成（前、中段）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传动轴总成（后段）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制动分泵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前钢板总成   8片</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后钢板总成    6/5</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910.80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刹车钢板垫块（前）LH</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后钢板胶套</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前钢板胶套</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后钢板销  专厂</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后钢板胶套</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备胎架</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转向节修理包</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双前轴</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转向节 LH</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转向节 RH</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时规底板</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306.90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气缸盖</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2326.50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喷油嘴总成</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高压泵</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tcBorders>
              <w:top w:val="single" w:color="000000" w:sz="4" w:space="0"/>
              <w:left w:val="singl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缸体</w:t>
            </w:r>
            <w:r/>
          </w:p>
        </w:tc>
        <w:tc>
          <w:tcPr>
            <w:tcBorders>
              <w:top w:val="single" w:color="000000" w:sz="4" w:space="0"/>
              <w:left w:val="singl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5148.00 </w:t>
            </w:r>
            <w:r/>
          </w:p>
        </w:tc>
      </w:tr>
      <w:tr>
        <w:trPr>
          <w:trHeight w:val="300"/>
        </w:trPr>
        <w:tc>
          <w:tcPr>
            <w:tcBorders>
              <w:top w:val="singl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tcBorders>
              <w:top w:val="singl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发动机脚胶</w:t>
            </w:r>
            <w:r/>
          </w:p>
        </w:tc>
        <w:tc>
          <w:tcPr>
            <w:tcBorders>
              <w:top w:val="singl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横拉杆球头</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风扇耦合器</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气门室盖</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316.80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离合器分泵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离合器总泵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435.60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手选挡线（换挡）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机油滤蕊总成带座</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飞轮壳</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变速箱壳</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变速箱盖总成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267.30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轴承(滚针）2挡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轴承(滚针）3档</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轴承(滚针）1挡</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电脑板总成</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齿轮油泵</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齿轮油泵轴</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倒档开关</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 </w:t>
            </w:r>
            <w:r/>
          </w:p>
        </w:tc>
      </w:tr>
      <w:tr>
        <w:trPr>
          <w:trHeight w:val="300"/>
        </w:trPr>
        <w:tc>
          <w:tcPr>
            <w:tcBorders>
              <w:top w:val="none" w:color="000000" w:sz="4" w:space="0"/>
              <w:left w:val="single" w:color="000000" w:sz="4" w:space="0"/>
              <w:bottom w:val="single" w:color="000000" w:sz="4" w:space="0"/>
              <w:right w:val="single" w:color="000000" w:sz="4" w:space="0"/>
            </w:tcBorders>
            <w:tcW w:w="99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tcBorders>
              <w:top w:val="none" w:color="000000" w:sz="4" w:space="0"/>
              <w:left w:val="none" w:color="000000" w:sz="4" w:space="0"/>
              <w:bottom w:val="single" w:color="000000" w:sz="4" w:space="0"/>
              <w:right w:val="single" w:color="000000" w:sz="4" w:space="0"/>
            </w:tcBorders>
            <w:tcW w:w="3632"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空挡开关</w:t>
            </w:r>
            <w:r/>
          </w:p>
        </w:tc>
        <w:tc>
          <w:tcPr>
            <w:tcBorders>
              <w:top w:val="none" w:color="000000" w:sz="4" w:space="0"/>
              <w:left w:val="none" w:color="000000" w:sz="4" w:space="0"/>
              <w:bottom w:val="single" w:color="000000" w:sz="4" w:space="0"/>
              <w:right w:val="single" w:color="000000" w:sz="4" w:space="0"/>
            </w:tcBorders>
            <w:tcW w:w="1059"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2444"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bl>
    <w:p>
      <w:pPr>
        <w:ind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（二）作业改装部分配件材料价格</w:t>
      </w:r>
      <w:r/>
    </w:p>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①烟台海德上装配件价格</w:t>
      </w:r>
      <w:r/>
    </w:p>
    <w:tbl>
      <w:tblPr>
        <w:tblStyle w:val="958"/>
        <w:tblW w:w="8130" w:type="dxa"/>
        <w:tblInd w:w="505" w:type="dxa"/>
        <w:tblLayout w:type="fixed"/>
        <w:tblCellMar>
          <w:left w:w="108" w:type="dxa"/>
          <w:top w:w="0" w:type="dxa"/>
          <w:right w:w="108" w:type="dxa"/>
          <w:bottom w:w="0" w:type="dxa"/>
        </w:tblCellMar>
        <w:tblLook w:val="04A0" w:firstRow="1" w:lastRow="0" w:firstColumn="1" w:lastColumn="0" w:noHBand="0" w:noVBand="1"/>
      </w:tblPr>
      <w:tblGrid>
        <w:gridCol w:w="955"/>
        <w:gridCol w:w="2490"/>
        <w:gridCol w:w="1656"/>
        <w:gridCol w:w="850"/>
        <w:gridCol w:w="2179"/>
      </w:tblGrid>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 号</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零件名称</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规格型号</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 位</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最高限价（元）</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硅胶条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闪光继电器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制动灯开关</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制动拉筋</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燃油泵总成</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831.60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燃油传感器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242.55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翘板组合开关</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306.90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计时器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风机马达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钢圈</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行走马达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管路过滤器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航空插件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硅胶条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管牙接口</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横拉杆球头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马达接头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转向轮羊叉</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297.00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散热器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燃油箱</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出油胶管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扫刷臂总成</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693.00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滑撬</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消音器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清水箱</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消栓盖锁链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丝杆</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9702.00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导流圈</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弯管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手压泵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抽吸套管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242.55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液压油箱</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水泵过渡接头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进水接头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出水接头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油缸</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762.30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后转座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6534.00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锁座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工作灯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皮带</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复合轴承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发动机前悬支架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吊环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挡泥板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188.10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散热器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6205轴承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油水分离器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336.60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快插接头1/2</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压力表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循环水密封条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5051TSL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离合器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轮体压板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线圈</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1366.20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箭头灯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风机油杯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282.15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滚轮皮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后门密封条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轴承6212</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手压泵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水泵轴承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5054TSL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水过滤器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1425.60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1544.40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铜过滤器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693.00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雾灯开关</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吸口胶圈</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洗车马达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线圈</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2425.50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马达</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散热器(5160TSL)</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1881.00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复合轴承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高压绿化喷枪</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29205.00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弹簧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三通快速接头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扇形喷水咀</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摄像头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混泥土输送车直流泵</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监视器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水滤芯</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水滤器扳手</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前刷喷水架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361.35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右外摆支撑架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右侧喷水外摆架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右喷水架前喷水管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右喷水中连接体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左中冲水架体总成</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3880.80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液压箱体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有机玻璃板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扫刷支杆</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边刷连杆</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拉杆支耳</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边刷转座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252.45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抽吸上接座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直通过板接头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过渡接头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12969.00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固定座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301.95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顶警灯固定座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电瓶架托座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301.95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尾灯架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后支座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副机排气筒</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支撑板1</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支撑板2</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抽吸套管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左右侧门板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抽吸接管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前连接轴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吸口后冲水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水分体焊体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PU绕性风管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5167TXS150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613.80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PU绕性风管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5167TXS180</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762.30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5167TXS5002</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5167TXS6508</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5167TXS77LQS</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2425.50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后U形螺栓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传动轴承座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391.05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传动带轮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762.30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涨紧支架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173.25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涨紧滚轮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371.25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大带轮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抽吸套管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左右侧门板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抽吸接管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固定转座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前导向座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后压座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前固定座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前连接轴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吸口后冲水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水分体焊体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吸口侧冲水管（老式）</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传动带轮</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YHD5167GSL</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后喷头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后护栏</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470.25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　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喷枪联管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910.80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铺  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391.05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中下喷管2</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前喷弯头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前喷弯头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282.15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后下喷管联接件1</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前喷管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202.95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后喷管座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球阀转板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高压集流管体</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465.30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上压板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下压板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端耳</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转板 发配件</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转板</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销轴</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喷枪接座</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球阀备紧螺母</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紧固手柄</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 </w:t>
            </w:r>
            <w:r/>
          </w:p>
        </w:tc>
      </w:tr>
      <w:tr>
        <w:trPr>
          <w:trHeight w:val="270"/>
        </w:trPr>
        <w:tc>
          <w:tcPr>
            <w:tcBorders>
              <w:top w:val="single" w:color="000000" w:sz="4" w:space="0"/>
              <w:left w:val="single" w:color="000000" w:sz="4" w:space="0"/>
              <w:bottom w:val="single" w:color="000000" w:sz="4" w:space="0"/>
              <w:right w:val="single" w:color="000000" w:sz="4" w:space="0"/>
            </w:tcBorders>
            <w:tcW w:w="955"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后下喷雾管</w:t>
            </w:r>
            <w:r/>
          </w:p>
        </w:tc>
        <w:tc>
          <w:tcPr>
            <w:tcBorders>
              <w:top w:val="single" w:color="000000" w:sz="4" w:space="0"/>
              <w:left w:val="single" w:color="000000" w:sz="4" w:space="0"/>
              <w:bottom w:val="single" w:color="000000" w:sz="4" w:space="0"/>
              <w:right w:val="single" w:color="000000" w:sz="4" w:space="0"/>
            </w:tcBorders>
            <w:tcW w:w="165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YHD5160GQX</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2179"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871.20 </w:t>
            </w:r>
            <w:r/>
          </w:p>
        </w:tc>
      </w:tr>
    </w:tbl>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②宁波宝成上装配件价格</w:t>
      </w:r>
      <w:r/>
    </w:p>
    <w:tbl>
      <w:tblPr>
        <w:tblStyle w:val="958"/>
        <w:tblW w:w="8140" w:type="dxa"/>
        <w:tblInd w:w="505" w:type="dxa"/>
        <w:tblLayout w:type="fixed"/>
        <w:tblCellMar>
          <w:left w:w="108" w:type="dxa"/>
          <w:top w:w="0" w:type="dxa"/>
          <w:right w:w="108" w:type="dxa"/>
          <w:bottom w:w="0" w:type="dxa"/>
        </w:tblCellMar>
        <w:tblLook w:val="04A0" w:firstRow="1" w:lastRow="0" w:firstColumn="1" w:lastColumn="0" w:noHBand="0" w:noVBand="1"/>
      </w:tblPr>
      <w:tblGrid>
        <w:gridCol w:w="830"/>
        <w:gridCol w:w="1890"/>
        <w:gridCol w:w="2940"/>
        <w:gridCol w:w="890"/>
        <w:gridCol w:w="1590"/>
      </w:tblGrid>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型号</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tcPr>
          <w:p>
            <w:pPr>
              <w:jc w:val="center"/>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最高限价（元）</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气动二路阀强田</w:t>
            </w:r>
            <w:r/>
          </w:p>
        </w:tc>
        <w:tc>
          <w:tcPr>
            <w:tcBorders>
              <w:top w:val="singl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DCV60A/2-0016</w:t>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4296.6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齿轮油泵</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CBN-F550-BFHL</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1275.12</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弯芯带螺母</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Φ38-90度</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130.68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举升油缸</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Φ90-Φ60-834</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2494.8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5160ZLJA</w:t>
            </w:r>
            <w:r/>
          </w:p>
        </w:tc>
        <w:tc>
          <w:tcPr>
            <w:shd w:val="clear" w:color="000000" w:fill="ffffff"/>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100-70-834</w:t>
            </w:r>
            <w:r/>
          </w:p>
        </w:tc>
        <w:tc>
          <w:tcPr>
            <w:shd w:val="clear" w:color="000000" w:fill="ffffff"/>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3049.2</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5161ZLJA</w:t>
            </w:r>
            <w:r/>
          </w:p>
        </w:tc>
        <w:tc>
          <w:tcPr>
            <w:shd w:val="clear" w:color="000000" w:fill="ffffff"/>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110-80-834</w:t>
            </w:r>
            <w:r/>
          </w:p>
        </w:tc>
        <w:tc>
          <w:tcPr>
            <w:shd w:val="clear" w:color="000000" w:fill="ffffff"/>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4019.4</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油缸支架（大）</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212型传动轴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1140mm  5120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1053.36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212型传动轴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945mm 5160  5161</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1053.36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测压接头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G1/4-16×2</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单向节流阀</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LA-H8L</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铜球阀</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1/2</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M30×1.5-Φ22</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M16×1.5-M14×1.5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非标</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G1/2-22*1.5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shd w:val="clear" w:color="000000" w:fill="ffffff"/>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非标</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G1/2-27*1.5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非标</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G1/2-30*1.5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M22×1.5-M22×1.5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22*1.5-14*1.5</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52*2-11/2</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油接头</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22*1.5-30*1.5</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堵头</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三通</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M16×1.5-ΦM22*1.5-M16×1.5</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三通</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M22×1.5-27*1.5-M22×1.5</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气动阀</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4H230E-08</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207.9</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气源</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AFC2000</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shd w:val="clear" w:color="000000" w:fill="ffffff"/>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挡泥板带支架</w:t>
            </w:r>
            <w:r/>
          </w:p>
        </w:tc>
        <w:tc>
          <w:tcPr>
            <w:shd w:val="clear" w:color="000000" w:fill="ffffff"/>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w:t>
            </w:r>
            <w:r/>
          </w:p>
        </w:tc>
        <w:tc>
          <w:tcPr>
            <w:shd w:val="clear" w:color="000000" w:fill="ffffff"/>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shd w:val="clear" w:color="000000"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291.06</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液压油箱</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730.62</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减震块</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60mm*400mm</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铝合金侧护栏</w:t>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100*30   L=3.015</w:t>
            </w:r>
            <w:r/>
          </w:p>
        </w:tc>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w:t>
            </w:r>
            <w:r/>
          </w:p>
        </w:tc>
      </w:tr>
      <w:tr>
        <w:trPr>
          <w:trHeight w:val="300"/>
        </w:trPr>
        <w:tc>
          <w:tcPr>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铝合金侧封头</w:t>
            </w:r>
            <w:r/>
          </w:p>
        </w:tc>
        <w:tc>
          <w:tcPr>
            <w:tcBorders>
              <w:top w:val="singl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M16×1.5-2800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M22×1.5-600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M22×1.5-900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110.88</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M22×1.5-960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124.74</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M22×1.5-1040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152.46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M27×1.5-1040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高压油管</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M27×1.5-1120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166.32</w:t>
            </w:r>
            <w:r/>
          </w:p>
        </w:tc>
      </w:tr>
      <w:tr>
        <w:trPr>
          <w:trHeight w:val="300"/>
        </w:trPr>
        <w:tc>
          <w:tcPr>
            <w:tcBorders>
              <w:top w:val="none" w:color="000000" w:sz="4" w:space="0"/>
              <w:left w:val="single" w:color="000000" w:sz="4" w:space="0"/>
              <w:bottom w:val="single" w:color="000000" w:sz="4" w:space="0"/>
              <w:right w:val="single" w:color="000000" w:sz="4" w:space="0"/>
            </w:tcBorders>
            <w:tcW w:w="83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none" w:color="000000" w:sz="4" w:space="0"/>
              <w:left w:val="none" w:color="000000" w:sz="4" w:space="0"/>
              <w:bottom w:val="single" w:color="000000" w:sz="4" w:space="0"/>
              <w:right w:val="single" w:color="000000" w:sz="4" w:space="0"/>
            </w:tcBorders>
            <w:tcW w:w="1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开门油缸</w:t>
            </w:r>
            <w:r/>
          </w:p>
        </w:tc>
        <w:tc>
          <w:tcPr>
            <w:tcBorders>
              <w:top w:val="none" w:color="000000" w:sz="4" w:space="0"/>
              <w:left w:val="none" w:color="000000" w:sz="4" w:space="0"/>
              <w:bottom w:val="single" w:color="000000" w:sz="4" w:space="0"/>
              <w:right w:val="single" w:color="000000" w:sz="4" w:space="0"/>
            </w:tcBorders>
            <w:tcW w:w="294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50-28-280</w:t>
            </w:r>
            <w:r/>
          </w:p>
        </w:tc>
        <w:tc>
          <w:tcPr>
            <w:tcBorders>
              <w:top w:val="none" w:color="000000" w:sz="4" w:space="0"/>
              <w:left w:val="none" w:color="000000" w:sz="4" w:space="0"/>
              <w:bottom w:val="single" w:color="000000" w:sz="4" w:space="0"/>
              <w:right w:val="single" w:color="000000" w:sz="4" w:space="0"/>
            </w:tcBorders>
            <w:tcW w:w="89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59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1108.8</w:t>
            </w:r>
            <w:r/>
          </w:p>
        </w:tc>
      </w:tr>
    </w:tbl>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③航天晨光上装配件价格</w:t>
      </w:r>
      <w:r/>
    </w:p>
    <w:tbl>
      <w:tblPr>
        <w:tblStyle w:val="958"/>
        <w:tblW w:w="8160" w:type="dxa"/>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611"/>
        <w:gridCol w:w="1977"/>
        <w:gridCol w:w="851"/>
        <w:gridCol w:w="1871"/>
      </w:tblGrid>
      <w:tr>
        <w:trPr>
          <w:trHeight w:val="283"/>
        </w:trPr>
        <w:tc>
          <w:tcPr>
            <w:tcW w:w="85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611"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W w:w="1977"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型号</w:t>
            </w:r>
            <w:r/>
          </w:p>
        </w:tc>
        <w:tc>
          <w:tcPr>
            <w:tcW w:w="851"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W w:w="1871"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滑板总成3T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CMZL001758A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8514</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刮板总成3T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CMZL001757B</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5544</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滑板滚轮3T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CMZC001306A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滑板滚轮盖3T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CMJ423030345A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滑板油缸上座3T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CMZC000179A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326.7</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刮滑缸连接长轴3T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CMZM000031A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刮滑板连接处下轴座</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CMZM000028B</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自润滑轴套φ45L98</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CMJ423030208A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刮板缸下轴座3T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CMZM000029A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齿轮泵CBN-540/F520-BFHL</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820010100026</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电气操作面板</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CMZE002785A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提桶机构开关（十字开关）</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CMZE003242A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滑板油缸油封;（刮）3T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822020300006</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386.1</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按钮开关AH30-MS1B11/0180</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CMJ461005015A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橡胶盖（黑色）</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CMJ456000744A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按钮开关AH30-MSR11/0180</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CMJ461030131A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橡胶盖（红色）</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CMJ456000743B</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污水盖（配搭扣）</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CMJ426030066</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小污水盖（污水箱用）</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CMZL003533A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接近开关FL2R-7J6SV</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826120100376</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接近开关FL7M-14J6ND</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826120100378</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820040200008</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1732.5</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刮板油缸3T</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CMZC000700A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1683</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软轴控制器;LJ101;L=900</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801351200007</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升压器DC12V-24</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826110100007</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提桶油缸(SUL2或SUL7)</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CMZL001947B</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密封条</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822010500036</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回油过滤器C-SP08N-30</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CMJ466034406A</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电磁换向阀4WE6G50B/AG24N</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820031300040</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w:t>
            </w:r>
            <w:r/>
          </w:p>
        </w:tc>
      </w:tr>
      <w:tr>
        <w:trPr>
          <w:trHeight w:val="283"/>
        </w:trPr>
        <w:tc>
          <w:tcPr>
            <w:tcW w:w="85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261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取力器SDQ51/62 LGS-1</w:t>
            </w:r>
            <w:r/>
          </w:p>
        </w:tc>
        <w:tc>
          <w:tcPr>
            <w:tcW w:w="1977"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801101000060</w:t>
            </w:r>
            <w:r/>
          </w:p>
        </w:tc>
        <w:tc>
          <w:tcPr>
            <w:tcW w:w="851"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871"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970.2</w:t>
            </w:r>
            <w:r/>
          </w:p>
        </w:tc>
      </w:tr>
    </w:tbl>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b.</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rPr>
        <w:t xml:space="preserve">5/8吨垃圾车上装部分配件材料价格</w:t>
      </w:r>
      <w:r/>
    </w:p>
    <w:tbl>
      <w:tblPr>
        <w:tblStyle w:val="958"/>
        <w:tblW w:w="8170" w:type="dxa"/>
        <w:tblInd w:w="493" w:type="dxa"/>
        <w:tblLayout w:type="fixed"/>
        <w:tblCellMar>
          <w:left w:w="108" w:type="dxa"/>
          <w:top w:w="0" w:type="dxa"/>
          <w:right w:w="108" w:type="dxa"/>
          <w:bottom w:w="0" w:type="dxa"/>
        </w:tblCellMar>
        <w:tblLook w:val="04A0" w:firstRow="1" w:lastRow="0" w:firstColumn="1" w:lastColumn="0" w:noHBand="0" w:noVBand="1"/>
      </w:tblPr>
      <w:tblGrid>
        <w:gridCol w:w="860"/>
        <w:gridCol w:w="2934"/>
        <w:gridCol w:w="1660"/>
        <w:gridCol w:w="876"/>
        <w:gridCol w:w="1840"/>
      </w:tblGrid>
      <w:tr>
        <w:trPr>
          <w:trHeight w:val="510"/>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型号</w:t>
            </w:r>
            <w:r/>
          </w:p>
        </w:tc>
        <w:tc>
          <w:tcPr>
            <w:tcBorders>
              <w:top w:val="singl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84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滑板总成(5T)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CMZL000249B</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9504</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刮板总成(5T)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CMZL000440C</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6435</w:t>
            </w:r>
            <w:r/>
          </w:p>
        </w:tc>
      </w:tr>
      <w:tr>
        <w:trPr>
          <w:trHeight w:val="90"/>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滑板油缸70*45*775</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820040200007</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2227.5</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刮板油缸5T;70*45*435</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820040200009</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U型螺栓（5t，每个配4螺母）</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CMZA000033A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刮滑板连接处轴套#500-SP</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CMJ422030794A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刮滑板连接处轴座5t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CMZM000001B</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刮板缸下轴座5t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CMZM000003A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滑板滚轮5t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CMZC000042A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滑板滚轮盖5t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CMJ423030172B</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滑板油缸上座5T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CMZC000046A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326.7</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刮滑缸连接长轴5T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CMZM000004A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电气操作面板</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CMZE002785A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提桶机构开关（十字开关）</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CMZE002263A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滑板油缸油封5T</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822020300016</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455.4</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按钮开关AH30-MS1B11/0180</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CMJ461005015A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橡胶盖（黑色）</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CMJ456000744A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按钮开关AH30-MSR11/0180</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CMJ461030131A</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橡胶盖（红色）</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CMJ456000743B</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r>
      <w:tr>
        <w:trPr>
          <w:trHeight w:val="285"/>
        </w:trPr>
        <w:tc>
          <w:tcPr>
            <w:tcBorders>
              <w:top w:val="non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none" w:color="000000" w:sz="4" w:space="0"/>
              <w:left w:val="non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污水盖（配搭扣）</w:t>
            </w:r>
            <w:r/>
          </w:p>
        </w:tc>
        <w:tc>
          <w:tcPr>
            <w:tcBorders>
              <w:top w:val="none" w:color="000000" w:sz="4" w:space="0"/>
              <w:left w:val="non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CMJ426030066</w:t>
            </w:r>
            <w:r/>
          </w:p>
        </w:tc>
        <w:tc>
          <w:tcPr>
            <w:tcBorders>
              <w:top w:val="none" w:color="000000" w:sz="4" w:space="0"/>
              <w:left w:val="non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小污水盖（污水箱用）</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CMZL003533A</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接近开关FL2R-12J6SV</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826120100377</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接近开关FL7M-14J6ND</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826120100378</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齿轮泵CBN-63/20-BFHL</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820010100028</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2475</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密封条</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822010500036</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米</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回油过滤器C-SP08N-30</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CMJ466034406A</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w:t>
            </w:r>
            <w:r/>
          </w:p>
        </w:tc>
      </w:tr>
      <w:tr>
        <w:trPr>
          <w:trHeight w:val="2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2934"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电磁换向阀4WE6G50B/AG24N</w:t>
            </w:r>
            <w:r/>
          </w:p>
        </w:tc>
        <w:tc>
          <w:tcPr>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820031300040</w:t>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w:t>
            </w:r>
            <w:r/>
          </w:p>
        </w:tc>
      </w:tr>
    </w:tbl>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c. 吸粪车上装部分配件材料价格</w:t>
      </w:r>
      <w:r/>
    </w:p>
    <w:tbl>
      <w:tblPr>
        <w:tblStyle w:val="958"/>
        <w:tblW w:w="8190" w:type="dxa"/>
        <w:tblInd w:w="495" w:type="dxa"/>
        <w:tblLayout w:type="fixed"/>
        <w:tblCellMar>
          <w:left w:w="108" w:type="dxa"/>
          <w:top w:w="0" w:type="dxa"/>
          <w:right w:w="108" w:type="dxa"/>
          <w:bottom w:w="0" w:type="dxa"/>
        </w:tblCellMar>
        <w:tblLook w:val="04A0" w:firstRow="1" w:lastRow="0" w:firstColumn="1" w:lastColumn="0" w:noHBand="0" w:noVBand="1"/>
      </w:tblPr>
      <w:tblGrid>
        <w:gridCol w:w="880"/>
        <w:gridCol w:w="2866"/>
        <w:gridCol w:w="1776"/>
        <w:gridCol w:w="808"/>
        <w:gridCol w:w="1860"/>
      </w:tblGrid>
      <w:tr>
        <w:trPr>
          <w:trHeight w:val="510"/>
        </w:trPr>
        <w:tc>
          <w:tcPr>
            <w:tcBorders>
              <w:top w:val="singl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型号</w:t>
            </w:r>
            <w:r/>
          </w:p>
        </w:tc>
        <w:tc>
          <w:tcPr>
            <w:tcBorders>
              <w:top w:val="singl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jc w:val="center"/>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防溢流内桶（白色导管）</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CMZF000049A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376.2</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防溢流浮球</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CMZF000051A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防溢流上盖总成</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CMZF009950A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2079</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防溢流过滤网（不锈钢）</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CMZF000050A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防溢流顶杆</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CMZF000043A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真空压力表-0.1~+0.3MPa</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827050200001</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真空泵刮片/进口A43D</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CMJ423030501A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811.8</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四通阀</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CMZK000110C</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水气分离器140XF1/0203-0</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CMZD000014A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871.2</w:t>
            </w:r>
            <w:r/>
          </w:p>
        </w:tc>
      </w:tr>
      <w:tr>
        <w:trPr>
          <w:trHeight w:val="285"/>
        </w:trPr>
        <w:tc>
          <w:tcPr>
            <w:tcBorders>
              <w:top w:val="none" w:color="000000" w:sz="4" w:space="0"/>
              <w:left w:val="single" w:color="000000" w:sz="4" w:space="0"/>
              <w:bottom w:val="single" w:color="000000" w:sz="4" w:space="0"/>
              <w:right w:val="single" w:color="000000" w:sz="4" w:space="0"/>
            </w:tcBorders>
            <w:tcW w:w="8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286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透明罩140XF1/0203-03</w:t>
            </w:r>
            <w:r/>
          </w:p>
        </w:tc>
        <w:tc>
          <w:tcPr>
            <w:tcBorders>
              <w:top w:val="none" w:color="000000" w:sz="4" w:space="0"/>
              <w:left w:val="none" w:color="000000" w:sz="4" w:space="0"/>
              <w:bottom w:val="single" w:color="000000" w:sz="4" w:space="0"/>
              <w:right w:val="single" w:color="000000" w:sz="4" w:space="0"/>
            </w:tcBorders>
            <w:tcW w:w="1776"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CMZD000059A</w:t>
            </w:r>
            <w:r/>
          </w:p>
        </w:tc>
        <w:tc>
          <w:tcPr>
            <w:tcBorders>
              <w:top w:val="none" w:color="000000" w:sz="4" w:space="0"/>
              <w:left w:val="none" w:color="000000" w:sz="4" w:space="0"/>
              <w:bottom w:val="single" w:color="000000" w:sz="4" w:space="0"/>
              <w:right w:val="single" w:color="000000" w:sz="4" w:space="0"/>
            </w:tcBorders>
            <w:tcW w:w="808"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w:t>
            </w:r>
            <w:r/>
          </w:p>
        </w:tc>
      </w:tr>
    </w:tbl>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④福龙马牌上装配件价格</w:t>
      </w:r>
      <w:r/>
    </w:p>
    <w:tbl>
      <w:tblPr>
        <w:tblStyle w:val="958"/>
        <w:tblW w:w="8180" w:type="dxa"/>
        <w:tblInd w:w="505" w:type="dxa"/>
        <w:tblLayout w:type="fixed"/>
        <w:tblCellMar>
          <w:left w:w="108" w:type="dxa"/>
          <w:top w:w="0" w:type="dxa"/>
          <w:right w:w="108" w:type="dxa"/>
          <w:bottom w:w="0" w:type="dxa"/>
        </w:tblCellMar>
        <w:tblLook w:val="04A0" w:firstRow="1" w:lastRow="0" w:firstColumn="1" w:lastColumn="0" w:noHBand="0" w:noVBand="1"/>
      </w:tblPr>
      <w:tblGrid>
        <w:gridCol w:w="870"/>
        <w:gridCol w:w="2880"/>
        <w:gridCol w:w="1770"/>
        <w:gridCol w:w="810"/>
        <w:gridCol w:w="1850"/>
      </w:tblGrid>
      <w:tr>
        <w:trPr>
          <w:trHeight w:val="403"/>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 号</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型 号</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单 位</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最高限价（元）</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气缸接头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JT80*75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63*85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326.70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XQGB63*110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洗地车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319.77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电磁水阀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ZCP-24V</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481.14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水滤芯</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SLX-100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水滤芯</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（大）不锈钢</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542.52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机械水泵</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JXSB-497100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712.80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水泵电磁线圈总成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DCXQ-0048000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滚扫轴承座</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皮带</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8PK1425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水堵</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水阀开关</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东方N65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缸床</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387.09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实心轮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5120GXC.11.8.2</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溢流阀总成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D12V</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1841.40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水管接头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SGJT-DA</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轮轴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5150TSL</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126.72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衬套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隔套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316.80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实心轮支架</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水过滤器总成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SL-400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1430.55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固定尼龙套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实心轮轮毂</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316.80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高压气动水阀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475.20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空气调压阀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SXPC-2</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114.84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打气泵气管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113.85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液压马达</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922.68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反吸管（聚氨酯）</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3.5米</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2968.02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铜套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球形阀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球形阀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455.40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三通</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242.55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反吸筒铁筒</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上半节</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856.35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吸盘支架</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挡轮皮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储气筒总成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589.05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聚氨酯</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密封垫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污水箱内主轴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洗地车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361.35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储气筒</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3513010-KC100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快换阴阳接头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铜</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227.70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高压水枪</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GYSQ-20015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把</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油管接头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高压分水管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5164.03</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973.17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风机轴承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NSK6312</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吸嘴后档皮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DP-002850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282.15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可调橡胶轮总成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FLM-51-0010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882.09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实心轮（大洗）</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实心轮轮毂（大洗）</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209.88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5003</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储气筒总成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514.80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51M/2</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675.18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水管接头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SGJT-ZH</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水管密封垫</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SG-500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短型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电磁阀座</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558.36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钢绳</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气阀.电磁阀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321.75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下水管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单向阀气阀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292.05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副机水箱总成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拉杆总成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快放阀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升降器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电动</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391.05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688.05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反吸筒铁筒带座总成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吸筒密封圈</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反吸管（聚氨酯）</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1054.35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63*220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328.68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水闷头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大扫</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78</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发动机大修包</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111.87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缸套</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481.14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1003.86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218.79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活塞环</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405.90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连杆瓦</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171.27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曲轴瓦</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245.52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278.19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进气门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进气门座圈</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缸盖密封垫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张紧轮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欧三</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气门摇臂轴总成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大扫</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机油冷却器外垫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机油冷却器内垫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增压器回油管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大扫</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增压器垫子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3479.85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缸体</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8323.92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涡轮增压器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4035201</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3439.26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排气支管垫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CA4D32-12</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416.79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气门油封</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气门室盖垫</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发动机边盖垫</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冷却喷嘴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缸盖</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1846.35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126.72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飞轮齿圈</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173齿</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160.38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柴油滤清器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FS1280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燃油滤清器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FS5052</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111.87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机油冷却器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385.11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后视镜</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SL-517</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增压器进油管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储气筒总成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673.20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电磁电源开关</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扫盘调整油缸</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中扫</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861.30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油缸调整头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中扫</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调整螺母</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FLM5050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电子直流水泵</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12V</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3564.00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WSG100015-7</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156.42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120</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副机排气管弯头</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中洗</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风机轴承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NSK6314</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579.15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MAC进口电磁阀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45A-SCI-DDJA（大洗）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502.92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吸盘气缸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MXQGB/长</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787.05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水阀开关</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CC-1/2</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导向轴承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NSK6205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水箱下水管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小水箱</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202.95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副机水泵</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237.60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风机轴承（进口）</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346.50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新款、专业</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1975.05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水泵皮带</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橡皮轮（大号）</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橡皮轮（大号）</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白色</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张紧轮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高压球形阀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589.05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高压球形阀（大）</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688.05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污水阀内轴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污水箱内挡板</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单向气阀总成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大洗</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341.55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滚扫液压马达</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BMP-310-2ADN1HA</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1692.90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滚扫心轴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182.16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液压油管</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长型</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265.32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滚扫马达轴承座</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FJ5121-05.06</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209.88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高压铜球阀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DN50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351.45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开花式高压喷枪</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1841.40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空气干燥机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KQGZQ/02</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605.88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四回路保护阀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147.51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气缸床</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111.87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曲轴前油封</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曲轴后油封</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曲轴止推片</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6BT</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副</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增压器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C4035201</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3439.26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风扇皮带</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FSPD-0850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123.75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风扇支架</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157</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齿轮油泵轴</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FLM-002/2</w:t>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283.14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齿轮油泵</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CBW-F310-CFH</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凸轮轴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CBW-F310-CFH</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1421.64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污水箱</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黑漆</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1170.18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477.18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MAC进口电磁阀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45A-SCI-DDJA</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628.65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储气筒放水开关</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扫盘调整气缸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FLM55164</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492.03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气缸消声器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BSL-03</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气缸调压阀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NSE08-03</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电磁气阀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4V110-06</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378.18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反吸筒铁筒</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948.42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391.05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聚氨酯（2米多）</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648.45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电磁气阀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电控箱内</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415.80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气缸前扫</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589.05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气缸总成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975.15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放水阀</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铜</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高压水管</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扫盘盖</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前扫盘</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加宽，加大</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976.14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后吸盘限位丝杆</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扫盘轴承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6208（进口）</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183.15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滚扫轴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482.13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高压球阀</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481.14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电子模块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水泵隔套</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678.15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水泵水封</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371.25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水泵叶轮</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480.15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水泵轴承</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103.95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反吸筒铁筒</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加长</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1656.27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前调整臂</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天锦</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492.03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190</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橡皮轮</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大号、白色</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148.50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马达起动机</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小轮毂</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321.75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起动继电器</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153.45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车载显示屏电源</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425.70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中间档皮</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200*20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351.45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196</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取力器传动轴十字节</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197</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污水阀轴</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361.35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198</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四向开关</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477.18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199</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开关控制盒</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184.14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200</w:t>
            </w:r>
            <w:r/>
          </w:p>
        </w:tc>
        <w:tc>
          <w:tcPr>
            <w:tcBorders>
              <w:top w:val="singl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功能开关</w:t>
            </w:r>
            <w:r/>
          </w:p>
        </w:tc>
        <w:tc>
          <w:tcPr>
            <w:tcBorders>
              <w:top w:val="singl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singl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变压器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连接板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292.05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转座</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321.75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转座销轴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吸嘴弯弓皮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250.47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水泵齿轮</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420.75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水泵主轴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678.15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喷架臂</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481.14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反吸筒铁筒总成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洗地车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大箱内顶总成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中洗</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1252.35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污水内挡板</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341.55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水箱总成</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洗地车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1470.15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213</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取力器传动轴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洗地车</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675.18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214</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喷架伸缩气缸</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QGCM50</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440.55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215</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清水洗传感器</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QSX-005</w:t>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384.12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216</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空气开关</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133.65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217</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驱动芯轴</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625.68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218</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路肩扫盘</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1470.15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219</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路肩扫盘罩</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212.85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220</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扫盘焊合</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881.10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w:t>
            </w:r>
            <w:r/>
          </w:p>
        </w:tc>
        <w:tc>
          <w:tcPr>
            <w:tcBorders>
              <w:top w:val="none" w:color="000000" w:sz="4" w:space="0"/>
              <w:left w:val="non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扫盘罩</w:t>
            </w:r>
            <w:r/>
          </w:p>
        </w:tc>
        <w:tc>
          <w:tcPr>
            <w:tcBorders>
              <w:top w:val="none" w:color="000000" w:sz="4" w:space="0"/>
              <w:left w:val="non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190.08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活节</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153.45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举升油缸</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YG731A</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722.70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224</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细滤网</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FLM5060TSL-02.10</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225</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吸嘴前围胶板</w:t>
            </w:r>
            <w:r/>
          </w:p>
        </w:tc>
        <w:tc>
          <w:tcPr>
            <w:tcBorders>
              <w:top w:val="single" w:color="000000" w:sz="4" w:space="0"/>
              <w:left w:val="single" w:color="000000" w:sz="4" w:space="0"/>
              <w:bottom w:val="single" w:color="000000" w:sz="4" w:space="0"/>
              <w:right w:val="single" w:color="000000" w:sz="4" w:space="0"/>
            </w:tcBorders>
            <w:tcW w:w="17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50-135-6，FLM5162GSL-03.05-8</w:t>
            </w:r>
            <w:r/>
          </w:p>
        </w:tc>
        <w:tc>
          <w:tcPr>
            <w:tcBorders>
              <w:top w:val="single" w:color="000000" w:sz="4" w:space="0"/>
              <w:left w:val="single" w:color="000000" w:sz="4" w:space="0"/>
              <w:bottom w:val="single" w:color="000000" w:sz="4" w:space="0"/>
              <w:right w:val="single" w:color="000000" w:sz="4" w:space="0"/>
            </w:tcBorders>
            <w:tcW w:w="81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single" w:color="000000" w:sz="4" w:space="0"/>
              <w:left w:val="single" w:color="000000" w:sz="4" w:space="0"/>
              <w:bottom w:val="single" w:color="000000" w:sz="4" w:space="0"/>
              <w:right w:val="single" w:color="000000" w:sz="4" w:space="0"/>
            </w:tcBorders>
            <w:tcW w:w="185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226</w:t>
            </w:r>
            <w:r/>
          </w:p>
        </w:tc>
        <w:tc>
          <w:tcPr>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继电器(带长脚)</w:t>
            </w:r>
            <w:r/>
          </w:p>
        </w:tc>
        <w:tc>
          <w:tcPr>
            <w:tcBorders>
              <w:top w:val="single" w:color="000000" w:sz="4" w:space="0"/>
              <w:left w:val="singl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JD102S-003，DC12V</w:t>
            </w:r>
            <w:r/>
          </w:p>
        </w:tc>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single" w:color="000000" w:sz="4" w:space="0"/>
              <w:left w:val="singl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227</w:t>
            </w:r>
            <w:r/>
          </w:p>
        </w:tc>
        <w:tc>
          <w:tcPr>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右前扫喷水架</w:t>
            </w:r>
            <w:r/>
          </w:p>
        </w:tc>
        <w:tc>
          <w:tcPr>
            <w:tcBorders>
              <w:top w:val="single" w:color="000000" w:sz="4" w:space="0"/>
              <w:left w:val="singl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配新扫盘，FLM5060TSL-09.02B</w:t>
            </w:r>
            <w:r/>
          </w:p>
        </w:tc>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202.95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228</w:t>
            </w:r>
            <w:r/>
          </w:p>
        </w:tc>
        <w:tc>
          <w:tcPr>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扫盘125°</w:t>
            </w:r>
            <w:r/>
          </w:p>
        </w:tc>
        <w:tc>
          <w:tcPr>
            <w:tcBorders>
              <w:top w:val="single" w:color="000000" w:sz="4" w:space="0"/>
              <w:left w:val="singl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FLM5161TSL-03.08</w:t>
            </w:r>
            <w:r/>
          </w:p>
        </w:tc>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475.20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229</w:t>
            </w:r>
            <w:r/>
          </w:p>
        </w:tc>
        <w:tc>
          <w:tcPr>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扫盘盖板125°</w:t>
            </w:r>
            <w:r/>
          </w:p>
        </w:tc>
        <w:tc>
          <w:tcPr>
            <w:tcBorders>
              <w:top w:val="single" w:color="000000" w:sz="4" w:space="0"/>
              <w:left w:val="singl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FLM5161TSL-03-4</w:t>
            </w:r>
            <w:r/>
          </w:p>
        </w:tc>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160.38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230</w:t>
            </w:r>
            <w:r/>
          </w:p>
        </w:tc>
        <w:tc>
          <w:tcPr>
            <w:tcBorders>
              <w:top w:val="single" w:color="000000" w:sz="4" w:space="0"/>
              <w:left w:val="singl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排污口滤网</w:t>
            </w:r>
            <w:r/>
          </w:p>
        </w:tc>
        <w:tc>
          <w:tcPr>
            <w:tcBorders>
              <w:top w:val="single" w:color="000000" w:sz="4" w:space="0"/>
              <w:left w:val="singl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FLM5162GSL(II)-02.01.12</w:t>
            </w:r>
            <w:r/>
          </w:p>
        </w:tc>
        <w:tc>
          <w:tcPr>
            <w:tcBorders>
              <w:top w:val="single" w:color="000000" w:sz="4" w:space="0"/>
              <w:left w:val="singl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singl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315.81 </w:t>
            </w:r>
            <w:r/>
          </w:p>
        </w:tc>
      </w:tr>
      <w:tr>
        <w:trPr>
          <w:trHeight w:val="300"/>
        </w:trPr>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w:t>
            </w:r>
            <w:r/>
          </w:p>
        </w:tc>
        <w:tc>
          <w:tcPr>
            <w:tcBorders>
              <w:top w:val="singl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排污滤网</w:t>
            </w:r>
            <w:r/>
          </w:p>
        </w:tc>
        <w:tc>
          <w:tcPr>
            <w:tcBorders>
              <w:top w:val="singl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FLM5071GSL-02.03</w:t>
            </w:r>
            <w:r/>
          </w:p>
        </w:tc>
        <w:tc>
          <w:tcPr>
            <w:tcBorders>
              <w:top w:val="singl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singl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335.61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水位报警器</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3839N-010</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溢流阀</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Y-D25L</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1158.30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吸嘴吸管(YD)</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FLM5152TSL-05-4</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591.03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235</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气动离合器</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WH208A</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4548.06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236</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空气滤清器总成</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K2036B</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526.68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237</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空气滤清器</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EF2-32</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238</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回油过滤器</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Hu-40×30</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153.45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239</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直流泵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DCP24-180B12</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2729.43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240</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风机总成</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FLM5162（II）-05.01</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4827.24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NPE25/70-120</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23114.52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P51/135-90</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37367.55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高压水泵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EL152/100</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30917.70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244</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洒水泵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80QZB-60/90N</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4456.98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245</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B1/4" MEG5002</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246</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喷嘴</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B1/4" MEG5003</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98.00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247</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导流罩橡胶垫</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FLM5060TSL-02-2</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233.64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248</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CBW-F306-CFH</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422.73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249</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CBW-F310-CFH</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431.64 </w:t>
            </w:r>
            <w:r/>
          </w:p>
        </w:tc>
      </w:tr>
      <w:tr>
        <w:trPr>
          <w:trHeight w:val="300"/>
        </w:trPr>
        <w:tc>
          <w:tcPr>
            <w:tcBorders>
              <w:top w:val="none" w:color="000000" w:sz="4" w:space="0"/>
              <w:left w:val="single" w:color="000000" w:sz="4" w:space="0"/>
              <w:bottom w:val="single" w:color="000000" w:sz="4" w:space="0"/>
              <w:right w:val="single" w:color="000000" w:sz="4" w:space="0"/>
            </w:tcBorders>
            <w:tcW w:w="870" w:type="dxa"/>
            <w:vAlign w:val="center"/>
            <w:textDirection w:val="lrTb"/>
            <w:noWrap/>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250</w:t>
            </w:r>
            <w:r/>
          </w:p>
        </w:tc>
        <w:tc>
          <w:tcPr>
            <w:tcBorders>
              <w:top w:val="none" w:color="000000" w:sz="4" w:space="0"/>
              <w:left w:val="none" w:color="000000" w:sz="4" w:space="0"/>
              <w:bottom w:val="single" w:color="000000" w:sz="4" w:space="0"/>
              <w:right w:val="single" w:color="000000" w:sz="4" w:space="0"/>
            </w:tcBorders>
            <w:tcW w:w="28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齿轮泵</w:t>
            </w:r>
            <w:r/>
          </w:p>
        </w:tc>
        <w:tc>
          <w:tcPr>
            <w:tcBorders>
              <w:top w:val="none" w:color="000000" w:sz="4" w:space="0"/>
              <w:left w:val="none" w:color="000000" w:sz="4" w:space="0"/>
              <w:bottom w:val="single" w:color="000000" w:sz="4" w:space="0"/>
              <w:right w:val="single" w:color="000000" w:sz="4" w:space="0"/>
            </w:tcBorders>
            <w:tcW w:w="177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CB-E32-BFHL</w:t>
            </w:r>
            <w:r/>
          </w:p>
        </w:tc>
        <w:tc>
          <w:tcPr>
            <w:tcBorders>
              <w:top w:val="none" w:color="000000" w:sz="4" w:space="0"/>
              <w:left w:val="none" w:color="000000" w:sz="4" w:space="0"/>
              <w:bottom w:val="single" w:color="000000" w:sz="4" w:space="0"/>
              <w:right w:val="single" w:color="000000" w:sz="4" w:space="0"/>
            </w:tcBorders>
            <w:tcW w:w="81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台</w:t>
            </w:r>
            <w:r/>
          </w:p>
        </w:tc>
        <w:tc>
          <w:tcPr>
            <w:tcBorders>
              <w:top w:val="none" w:color="000000" w:sz="4" w:space="0"/>
              <w:left w:val="none" w:color="000000" w:sz="4" w:space="0"/>
              <w:bottom w:val="single" w:color="000000" w:sz="4" w:space="0"/>
              <w:right w:val="single" w:color="000000" w:sz="4" w:space="0"/>
            </w:tcBorders>
            <w:tcW w:w="1850"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472.23 </w:t>
            </w:r>
            <w:r/>
          </w:p>
        </w:tc>
      </w:tr>
    </w:tbl>
    <w:p>
      <w:pPr>
        <w:jc w:val="center"/>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(三)装载机配件材料价格</w:t>
      </w:r>
      <w:r/>
    </w:p>
    <w:tbl>
      <w:tblPr>
        <w:tblStyle w:val="958"/>
        <w:tblW w:w="8180" w:type="dxa"/>
        <w:tblInd w:w="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382"/>
        <w:gridCol w:w="1486"/>
        <w:gridCol w:w="818"/>
        <w:gridCol w:w="1037"/>
        <w:gridCol w:w="1607"/>
      </w:tblGrid>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160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w:t>
            </w:r>
            <w:r/>
          </w:p>
        </w:tc>
      </w:tr>
      <w:tr>
        <w:trPr/>
        <w:tc>
          <w:tcPr>
            <w:gridSpan w:val="6"/>
            <w:tcW w:w="81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常林932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138.6</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燃油粗滤芯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316.8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雨刮器杆及片</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付</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tc>
          <w:tcPr>
            <w:gridSpan w:val="6"/>
            <w:tcW w:w="81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常林ZLM30-5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柴滤芯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变速箱垫</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主动片</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从动片</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波形弹簧</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压板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564.3</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二三挡缸体组件</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1168.2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一档离合器齿轮</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534.6</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一档进油盖</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217.8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前后挡缸体组件</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中间轴主动齿轮</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485.1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前后挡进油盖</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二挡轴承盖</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二挡离合器齿轮</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386.1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变速箱油封</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29243/55轴承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5111轴承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5110轴承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倒挡轴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主传动轴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772.2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刹车片</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片</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831.6</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转斗油缸密封件</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584.1</w:t>
            </w:r>
            <w:r/>
          </w:p>
        </w:tc>
      </w:tr>
      <w:tr>
        <w:trPr/>
        <w:tc>
          <w:tcPr>
            <w:gridSpan w:val="6"/>
            <w:tcW w:w="818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常林933.30E</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柴滤芯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108.9</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风扇皮带</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转向灯开关</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前组合大灯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394.02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整体三色灯总成</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194.04</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倒车镜</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门锁</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262.35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举升油缸密封件</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574.2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转斗油缸密封件</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584.1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带踏板制动阀</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584.1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刹车灯开关</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811.8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机油压力表</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机油压力传感器</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气压传感器</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143.55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气压表</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大臂前销轴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大臂前轴套</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118.8</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连杆销轴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267.3</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连杆轴套</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雨刮器杆及片</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操作软轴</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194.04</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后大灯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163.35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输油泵</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汽缸床</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张</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六配套</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1361.25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连杆瓦</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皮带</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连杆总成</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207.9</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套</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277.2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65</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柴滤芯</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247.5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66</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发电机</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只</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544.5</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67</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制动油管</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128.7</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68</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刹车分泵</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386.1</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69</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加厚铲板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1564.2</w:t>
            </w:r>
            <w:r/>
          </w:p>
        </w:tc>
      </w:tr>
      <w:tr>
        <w:trPr/>
        <w:tc>
          <w:tcPr>
            <w:tcW w:w="850"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70</w:t>
            </w:r>
            <w:r/>
          </w:p>
        </w:tc>
        <w:tc>
          <w:tcPr>
            <w:tcW w:w="2382"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加长铲齿</w:t>
            </w:r>
            <w:r/>
          </w:p>
        </w:tc>
        <w:tc>
          <w:tcPr>
            <w:tcW w:w="1486"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18"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W w:w="1037" w:type="dxa"/>
            <w:vAlign w:val="top"/>
            <w:textDirection w:val="lrTb"/>
            <w:noWrap w:val="false"/>
          </w:tcPr>
          <w:p>
            <w:pPr>
              <w:jc w:val="center"/>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607" w:type="dxa"/>
            <w:vAlign w:val="top"/>
            <w:textDirection w:val="lrTb"/>
            <w:noWrap w:val="false"/>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193.05</w:t>
            </w:r>
            <w:r/>
          </w:p>
        </w:tc>
      </w:tr>
    </w:tbl>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(四)电动车电池材料价格</w:t>
      </w:r>
      <w:r/>
    </w:p>
    <w:tbl>
      <w:tblPr>
        <w:tblStyle w:val="958"/>
        <w:tblW w:w="8190" w:type="dxa"/>
        <w:tblInd w:w="515" w:type="dxa"/>
        <w:tblLayout w:type="fixed"/>
        <w:tblCellMar>
          <w:left w:w="108" w:type="dxa"/>
          <w:top w:w="0" w:type="dxa"/>
          <w:right w:w="108" w:type="dxa"/>
          <w:bottom w:w="0" w:type="dxa"/>
        </w:tblCellMar>
        <w:tblLook w:val="04A0" w:firstRow="1" w:lastRow="0" w:firstColumn="1" w:lastColumn="0" w:noHBand="0" w:noVBand="1"/>
      </w:tblPr>
      <w:tblGrid>
        <w:gridCol w:w="822"/>
        <w:gridCol w:w="3991"/>
        <w:gridCol w:w="1297"/>
        <w:gridCol w:w="2080"/>
      </w:tblGrid>
      <w:tr>
        <w:trPr>
          <w:trHeight w:val="270"/>
        </w:trPr>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最高限价（元）</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天能品牌电池48V20AH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490.05</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天能品牌电池60V20AH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611.82</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天能品牌电池48V32AH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787.05</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天能品牌电池48V45AH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985.05</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天能品牌电池60V32AH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983.07</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天能品牌电池60V45AH</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组</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1230.57</w:t>
            </w:r>
            <w:r/>
          </w:p>
        </w:tc>
      </w:tr>
      <w:tr>
        <w:trPr>
          <w:trHeight w:val="270"/>
        </w:trPr>
        <w:tc>
          <w:tcPr>
            <w:tcBorders>
              <w:top w:val="non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3991"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天能品牌电池3-EVF-200</w:t>
            </w:r>
            <w:r/>
          </w:p>
        </w:tc>
        <w:tc>
          <w:tcPr>
            <w:tcBorders>
              <w:top w:val="none" w:color="000000" w:sz="4" w:space="0"/>
              <w:left w:val="none" w:color="000000" w:sz="4" w:space="0"/>
              <w:bottom w:val="single" w:color="000000" w:sz="4" w:space="0"/>
              <w:right w:val="single" w:color="000000" w:sz="4" w:space="0"/>
            </w:tcBorders>
            <w:tcW w:w="1297" w:type="dxa"/>
            <w:vAlign w:val="center"/>
            <w:textDirection w:val="lrTb"/>
            <w:noWrap/>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个</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jc w:val="center"/>
              <w:keepLines w:val="0"/>
              <w:keepNext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841.5</w:t>
            </w:r>
            <w:r/>
          </w:p>
        </w:tc>
      </w:tr>
    </w:tbl>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 (五)机油、电瓶等材料价格</w:t>
      </w:r>
      <w:r/>
    </w:p>
    <w:tbl>
      <w:tblPr>
        <w:tblStyle w:val="958"/>
        <w:tblW w:w="8200" w:type="dxa"/>
        <w:tblInd w:w="515" w:type="dxa"/>
        <w:tblLayout w:type="fixed"/>
        <w:tblCellMar>
          <w:left w:w="108" w:type="dxa"/>
          <w:top w:w="0" w:type="dxa"/>
          <w:right w:w="108" w:type="dxa"/>
          <w:bottom w:w="0" w:type="dxa"/>
        </w:tblCellMar>
        <w:tblLook w:val="04A0" w:firstRow="1" w:lastRow="0" w:firstColumn="1" w:lastColumn="0" w:noHBand="0" w:noVBand="1"/>
      </w:tblPr>
      <w:tblGrid>
        <w:gridCol w:w="890"/>
        <w:gridCol w:w="1410"/>
        <w:gridCol w:w="2531"/>
        <w:gridCol w:w="1289"/>
        <w:gridCol w:w="2080"/>
      </w:tblGrid>
      <w:tr>
        <w:trPr>
          <w:trHeight w:val="510"/>
        </w:trPr>
        <w:tc>
          <w:tcPr>
            <w:tcBorders>
              <w:top w:val="singl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零件名称</w:t>
            </w:r>
            <w:r/>
          </w:p>
        </w:tc>
        <w:tc>
          <w:tcPr>
            <w:tcBorders>
              <w:top w:val="singl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型号</w:t>
            </w:r>
            <w:r/>
          </w:p>
        </w:tc>
        <w:tc>
          <w:tcPr>
            <w:tcBorders>
              <w:top w:val="singl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单位</w:t>
            </w:r>
            <w:r/>
          </w:p>
        </w:tc>
        <w:tc>
          <w:tcPr>
            <w:tcBorders>
              <w:top w:val="singl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最高限价（元）</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壳牌CH 18L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554.4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壳牌CH 4L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158.4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壳牌CI 18L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壳牌CI 4L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178.2</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壳牌CJ 18L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770.22</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壳牌CJ 4L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198</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壳牌46#普通型 20L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257.4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液压油</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壳牌46#工程机械类 20L</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汽车电瓶</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骆驼80D26</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594</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汽车电瓶</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骆驼120A</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891</w:t>
            </w:r>
            <w:r/>
          </w:p>
        </w:tc>
      </w:tr>
      <w:tr>
        <w:trPr>
          <w:trHeight w:val="285"/>
        </w:trPr>
        <w:tc>
          <w:tcPr>
            <w:tcBorders>
              <w:top w:val="none" w:color="000000" w:sz="4" w:space="0"/>
              <w:left w:val="single" w:color="000000" w:sz="4" w:space="0"/>
              <w:bottom w:val="single" w:color="000000" w:sz="4" w:space="0"/>
              <w:right w:val="single" w:color="000000" w:sz="4" w:space="0"/>
            </w:tcBorders>
            <w:tcW w:w="89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p>
        </w:tc>
        <w:tc>
          <w:tcPr>
            <w:tcBorders>
              <w:top w:val="none" w:color="000000" w:sz="4" w:space="0"/>
              <w:left w:val="none" w:color="000000" w:sz="4" w:space="0"/>
              <w:bottom w:val="single" w:color="000000" w:sz="4" w:space="0"/>
              <w:right w:val="single" w:color="000000" w:sz="4" w:space="0"/>
            </w:tcBorders>
            <w:tcW w:w="1410"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汽车电瓶</w:t>
            </w:r>
            <w:r/>
          </w:p>
        </w:tc>
        <w:tc>
          <w:tcPr>
            <w:tcBorders>
              <w:top w:val="none" w:color="000000" w:sz="4" w:space="0"/>
              <w:left w:val="none" w:color="000000" w:sz="4" w:space="0"/>
              <w:bottom w:val="single" w:color="000000" w:sz="4" w:space="0"/>
              <w:right w:val="single" w:color="000000" w:sz="4" w:space="0"/>
            </w:tcBorders>
            <w:tcW w:w="2531"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骆驼100A</w:t>
            </w:r>
            <w:r/>
          </w:p>
        </w:tc>
        <w:tc>
          <w:tcPr>
            <w:tcBorders>
              <w:top w:val="none" w:color="000000" w:sz="4" w:space="0"/>
              <w:left w:val="none" w:color="000000" w:sz="4" w:space="0"/>
              <w:bottom w:val="single" w:color="000000" w:sz="4" w:space="0"/>
              <w:right w:val="single" w:color="000000" w:sz="4" w:space="0"/>
            </w:tcBorders>
            <w:tcW w:w="1289" w:type="dxa"/>
            <w:vAlign w:val="center"/>
            <w:textDirection w:val="lrTb"/>
            <w:noWrap/>
          </w:tcPr>
          <w:p>
            <w:pPr>
              <w:ind w:firstLine="0"/>
              <w:jc w:val="cente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件</w:t>
            </w:r>
            <w:r/>
          </w:p>
        </w:tc>
        <w:tc>
          <w:tcPr>
            <w:tcBorders>
              <w:top w:val="none" w:color="000000" w:sz="4" w:space="0"/>
              <w:left w:val="none" w:color="000000" w:sz="4" w:space="0"/>
              <w:bottom w:val="single" w:color="000000" w:sz="4" w:space="0"/>
              <w:right w:val="single" w:color="000000" w:sz="4" w:space="0"/>
            </w:tcBorders>
            <w:tcW w:w="2080"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693</w:t>
            </w:r>
            <w:r/>
          </w:p>
        </w:tc>
      </w:tr>
    </w:tbl>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（六）中联配件明细</w:t>
      </w:r>
      <w:r/>
    </w:p>
    <w:tbl>
      <w:tblPr>
        <w:tblStyle w:val="958"/>
        <w:tblW w:w="8220" w:type="dxa"/>
        <w:tblInd w:w="5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4113"/>
        <w:gridCol w:w="1325"/>
        <w:gridCol w:w="2050"/>
      </w:tblGrid>
      <w:tr>
        <w:trPr>
          <w:trHeight w:val="270"/>
        </w:trPr>
        <w:tc>
          <w:tcPr>
            <w:gridSpan w:val="4"/>
            <w:tcW w:w="82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清扫车</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 号</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零件名称</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 位</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最高限价（元）</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齿轮泵</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811.8</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溢流阀</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891</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自动离合器</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3841.2</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橡胶波纹管</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514.8</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操控面板</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1039.5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扫盘连接轴</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铜套</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吸盘连杆</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445.5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轮架</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193.05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风机皮带</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涨紧轮</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178.2</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吸盘总成</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3811.5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喷水管</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217.8</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吸盘提升支架</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970.2</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支架连接肖</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r>
      <w:tr>
        <w:trPr>
          <w:trHeight w:val="270"/>
        </w:trPr>
        <w:tc>
          <w:tcPr>
            <w:gridSpan w:val="4"/>
            <w:tcW w:w="822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清运车</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背压阀</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1336.5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后盖板液压油缸</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652.41</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后门密封条（米）</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118.8</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提桶支架弹簧</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刮板滑块</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915.75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急停开关</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123.75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齐鲁器电磁阀</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346.5</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液压泵</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2554.2</w:t>
            </w:r>
            <w:r/>
          </w:p>
        </w:tc>
      </w:tr>
      <w:tr>
        <w:trPr>
          <w:trHeight w:val="270"/>
        </w:trPr>
        <w:tc>
          <w:tcPr>
            <w:tcW w:w="732"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p>
        </w:tc>
        <w:tc>
          <w:tcPr>
            <w:tcW w:w="4113"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取力器</w:t>
            </w:r>
            <w:r/>
          </w:p>
        </w:tc>
        <w:tc>
          <w:tcPr>
            <w:tcW w:w="1325"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只</w:t>
            </w:r>
            <w:r/>
          </w:p>
        </w:tc>
        <w:tc>
          <w:tcPr>
            <w:tcW w:w="2050" w:type="dxa"/>
            <w:vAlign w:val="center"/>
            <w:textDirection w:val="lrTb"/>
            <w:noWrap/>
          </w:tcPr>
          <w:p>
            <w:pPr>
              <w:jc w:val="center"/>
              <w:keepLines w:val="0"/>
              <w:keepNext w:val="0"/>
              <w:spacing w:line="360" w:lineRule="auto"/>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1039.5</w:t>
            </w:r>
            <w:r/>
          </w:p>
        </w:tc>
      </w:tr>
    </w:tbl>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）工时费最高限价：</w:t>
      </w:r>
      <w:r>
        <w:rPr>
          <w:rFonts w:hint="eastAsia" w:ascii="宋体" w:hAnsi="宋体" w:cs="宋体"/>
          <w:b/>
          <w:color w:val="auto"/>
          <w:sz w:val="21"/>
          <w:szCs w:val="21"/>
          <w:highlight w:val="none"/>
          <w:lang w:eastAsia="zh-CN"/>
        </w:rPr>
        <w:t xml:space="preserve">25元/工时</w:t>
      </w:r>
      <w:r>
        <w:rPr>
          <w:rFonts w:hint="eastAsia" w:ascii="宋体" w:hAnsi="宋体" w:eastAsia="宋体" w:cs="宋体"/>
          <w:b/>
          <w:color w:val="auto"/>
          <w:sz w:val="21"/>
          <w:szCs w:val="21"/>
          <w:highlight w:val="none"/>
        </w:rPr>
        <w:t xml:space="preserve">。</w:t>
      </w:r>
      <w:r/>
    </w:p>
    <w:p>
      <w:pPr>
        <w:ind w:firstLine="422"/>
        <w:jc w:val="both"/>
        <w:spacing w:line="360" w:lineRule="auto"/>
        <w:widowControl w:val="off"/>
        <w:rPr>
          <w:rFonts w:hint="eastAsia" w:ascii="宋体" w:hAnsi="宋体" w:eastAsia="宋体" w:cs="Times New Roman"/>
          <w:bCs/>
          <w:color w:val="auto"/>
          <w:sz w:val="21"/>
          <w:szCs w:val="21"/>
          <w:highlight w:val="none"/>
          <w:lang w:val="zh-CN" w:eastAsia="zh-CN" w:bidi="ar-SA"/>
        </w:rPr>
      </w:pPr>
      <w:r>
        <w:rPr>
          <w:rFonts w:hint="eastAsia" w:ascii="宋体" w:hAnsi="宋体" w:eastAsia="宋体" w:cs="Times New Roman"/>
          <w:b/>
          <w:color w:val="auto"/>
          <w:sz w:val="21"/>
          <w:szCs w:val="21"/>
          <w:highlight w:val="none"/>
          <w:lang w:val="en-US" w:eastAsia="zh-CN" w:bidi="ar-SA"/>
        </w:rPr>
        <w:t xml:space="preserve">四</w:t>
      </w:r>
      <w:r>
        <w:rPr>
          <w:rFonts w:hint="eastAsia" w:ascii="宋体" w:hAnsi="宋体" w:eastAsia="宋体" w:cs="Times New Roman"/>
          <w:b/>
          <w:color w:val="auto"/>
          <w:sz w:val="21"/>
          <w:szCs w:val="21"/>
          <w:highlight w:val="none"/>
          <w:lang w:val="zh-CN" w:eastAsia="zh-CN" w:bidi="ar-SA"/>
        </w:rPr>
        <w:t xml:space="preserve">、服务要求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w:t>
      </w:r>
      <w:r>
        <w:rPr>
          <w:rFonts w:hint="eastAsia" w:ascii="宋体" w:hAnsi="宋体" w:eastAsia="宋体" w:cs="宋体"/>
          <w:color w:val="auto"/>
          <w:sz w:val="21"/>
          <w:szCs w:val="21"/>
          <w:highlight w:val="none"/>
          <w:lang w:val="en-US" w:eastAsia="zh-CN" w:bidi="ar-SA"/>
        </w:rPr>
        <w:t xml:space="preserve">项目</w:t>
      </w:r>
      <w:r>
        <w:rPr>
          <w:rFonts w:hint="eastAsia" w:ascii="宋体" w:hAnsi="宋体" w:eastAsia="宋体" w:cs="宋体"/>
          <w:color w:val="auto"/>
          <w:sz w:val="21"/>
          <w:szCs w:val="21"/>
          <w:highlight w:val="none"/>
          <w:lang w:val="zh-CN" w:eastAsia="zh-CN" w:bidi="ar-SA"/>
        </w:rPr>
        <w:t xml:space="preserve">人员要求：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本项目要求投标单位</w:t>
      </w:r>
      <w:r>
        <w:rPr>
          <w:rFonts w:hint="eastAsia" w:ascii="宋体" w:hAnsi="宋体" w:cs="宋体"/>
          <w:color w:val="auto"/>
          <w:sz w:val="21"/>
          <w:szCs w:val="21"/>
          <w:highlight w:val="none"/>
          <w:lang w:val="en-US" w:eastAsia="zh-CN" w:bidi="ar-SA"/>
        </w:rPr>
        <w:t xml:space="preserve">各标段</w:t>
      </w:r>
      <w:r>
        <w:rPr>
          <w:rFonts w:hint="eastAsia" w:ascii="宋体" w:hAnsi="宋体" w:eastAsia="宋体" w:cs="宋体"/>
          <w:color w:val="auto"/>
          <w:sz w:val="21"/>
          <w:szCs w:val="21"/>
          <w:highlight w:val="none"/>
          <w:lang w:val="en-US" w:eastAsia="zh-CN" w:bidi="ar-SA"/>
        </w:rPr>
        <w:t xml:space="preserve">拟投入人员合计不少于6人，其中项目负责人1人，能够</w:t>
      </w:r>
      <w:r>
        <w:rPr>
          <w:rFonts w:hint="eastAsia" w:ascii="宋体" w:hAnsi="宋体" w:eastAsia="宋体" w:cs="宋体"/>
          <w:color w:val="auto"/>
          <w:sz w:val="21"/>
          <w:szCs w:val="21"/>
          <w:highlight w:val="none"/>
          <w:lang w:val="en-US" w:eastAsia="zh-CN"/>
        </w:rPr>
        <w:t xml:space="preserve">胜任本项目的组织管理工作，具有较好的沟通能力</w:t>
      </w:r>
      <w:r>
        <w:rPr>
          <w:rFonts w:hint="eastAsia" w:ascii="宋体" w:hAnsi="宋体" w:eastAsia="宋体" w:cs="宋体"/>
          <w:color w:val="auto"/>
          <w:sz w:val="21"/>
          <w:szCs w:val="21"/>
          <w:highlight w:val="none"/>
          <w:lang w:val="en-US" w:eastAsia="zh-CN" w:bidi="ar-SA"/>
        </w:rPr>
        <w:t xml:space="preserve">；技术负责人1人（能熟悉了解车辆维修业务，经验丰富专业能力强。）；其他维修人员4人（其中至少一名人员具有准驾车型B2及以上车型的机动车驾驶证）。</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bidi="ar-SA"/>
        </w:rPr>
        <w:t xml:space="preserve">投标文件中提供以上人员相关证件及劳动合同）</w:t>
      </w:r>
      <w:r/>
    </w:p>
    <w:p>
      <w:pPr>
        <w:ind w:firstLine="420"/>
        <w:jc w:val="both"/>
        <w:keepLines w:val="0"/>
        <w:keepNext w:val="0"/>
        <w:pageBreakBefore w:val="0"/>
        <w:spacing w:line="360" w:lineRule="auto"/>
        <w:widowControl w:val="off"/>
        <w:rPr>
          <w:rFonts w:hint="default"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w:t>
      </w:r>
      <w:r>
        <w:rPr>
          <w:rFonts w:hint="default" w:ascii="宋体" w:hAnsi="宋体" w:eastAsia="宋体" w:cs="Times New Roman"/>
          <w:color w:val="auto"/>
          <w:sz w:val="21"/>
          <w:szCs w:val="21"/>
          <w:highlight w:val="none"/>
          <w:lang w:val="zh-CN" w:eastAsia="zh-CN" w:bidi="ar-SA"/>
        </w:rPr>
        <w:t xml:space="preserve">维修场地及设施要求</w:t>
      </w:r>
      <w:r>
        <w:rPr>
          <w:rFonts w:hint="eastAsia" w:ascii="宋体" w:hAnsi="宋体" w:eastAsia="宋体" w:cs="Times New Roman"/>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Times New Roman"/>
          <w:bCs/>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维修服务商须熟悉了解服务车辆的品牌、车型、数量，具有服务采购单位车辆的维修保养能力，</w:t>
      </w:r>
      <w:r>
        <w:rPr>
          <w:rFonts w:hint="eastAsia" w:ascii="宋体" w:hAnsi="宋体" w:eastAsia="宋体" w:cs="Times New Roman"/>
          <w:color w:val="auto"/>
          <w:sz w:val="21"/>
          <w:szCs w:val="21"/>
          <w:highlight w:val="none"/>
          <w:lang w:val="en-US" w:eastAsia="zh-CN" w:bidi="ar-SA"/>
        </w:rPr>
        <w:t xml:space="preserve">有停车位或者专用维修工位，并且配备</w:t>
      </w:r>
      <w:r>
        <w:rPr>
          <w:rFonts w:hint="default" w:ascii="宋体" w:hAnsi="宋体" w:eastAsia="宋体" w:cs="Times New Roman"/>
          <w:bCs/>
          <w:color w:val="auto"/>
          <w:sz w:val="21"/>
          <w:szCs w:val="21"/>
          <w:highlight w:val="none"/>
          <w:lang w:val="zh-CN" w:eastAsia="zh-CN" w:bidi="ar-SA"/>
        </w:rPr>
        <w:t xml:space="preserve">不少于</w:t>
      </w:r>
      <w:r>
        <w:rPr>
          <w:rFonts w:hint="eastAsia" w:ascii="宋体" w:hAnsi="宋体" w:eastAsia="宋体" w:cs="Times New Roman"/>
          <w:bCs/>
          <w:color w:val="auto"/>
          <w:sz w:val="21"/>
          <w:szCs w:val="21"/>
          <w:highlight w:val="none"/>
          <w:lang w:val="zh-CN" w:eastAsia="zh-CN" w:bidi="ar-SA"/>
        </w:rPr>
        <w:t xml:space="preserve">1辆重型专项作业车。</w:t>
      </w:r>
      <w:r/>
    </w:p>
    <w:p>
      <w:pPr>
        <w:ind w:firstLine="420"/>
        <w:jc w:val="both"/>
        <w:keepLines w:val="0"/>
        <w:keepNext w:val="0"/>
        <w:pageBreakBefore w:val="0"/>
        <w:spacing w:line="360" w:lineRule="auto"/>
        <w:widowControl w:val="off"/>
        <w:rPr>
          <w:rFonts w:hint="default" w:ascii="宋体" w:hAnsi="宋体" w:eastAsia="宋体" w:cs="Times New Roman"/>
          <w:color w:val="auto"/>
          <w:sz w:val="21"/>
          <w:szCs w:val="21"/>
          <w:highlight w:val="none"/>
          <w:lang w:val="zh-CN" w:eastAsia="zh-CN" w:bidi="ar-SA"/>
        </w:rPr>
      </w:pPr>
      <w:r>
        <w:rPr>
          <w:rFonts w:hint="default" w:ascii="宋体" w:hAnsi="宋体" w:eastAsia="宋体" w:cs="Times New Roman"/>
          <w:color w:val="auto"/>
          <w:sz w:val="21"/>
          <w:szCs w:val="21"/>
          <w:highlight w:val="none"/>
          <w:lang w:val="zh-CN" w:eastAsia="zh-CN" w:bidi="ar-SA"/>
        </w:rPr>
        <w:t xml:space="preserve">3</w:t>
      </w:r>
      <w:r>
        <w:rPr>
          <w:rFonts w:hint="eastAsia" w:ascii="宋体" w:hAnsi="宋体" w:eastAsia="宋体" w:cs="Times New Roman"/>
          <w:color w:val="auto"/>
          <w:sz w:val="21"/>
          <w:szCs w:val="21"/>
          <w:highlight w:val="none"/>
          <w:lang w:val="zh-CN" w:eastAsia="zh-CN" w:bidi="ar-SA"/>
        </w:rPr>
        <w:t xml:space="preserve">、维修流程要求：</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维修服务企业必须严格按照采购单位制定的作业车辆维修流程进行车辆维修，对维修过程中产生的危险废物垃圾应规范处置，车辆维修必须在采购单位下达车辆维修单后方可进行，维修结束后按照车辆维修单所注要求进行检验并签字确认。未接到采购单位维修保养服务单前，维修服务商不得擅自进行维修。</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维修服务</w:t>
      </w:r>
      <w:r>
        <w:rPr>
          <w:rFonts w:hint="eastAsia" w:ascii="宋体" w:hAnsi="宋体" w:eastAsia="宋体" w:cs="Times New Roman"/>
          <w:color w:val="auto"/>
          <w:sz w:val="21"/>
          <w:szCs w:val="21"/>
          <w:highlight w:val="none"/>
          <w:lang w:val="zh-CN"/>
        </w:rPr>
        <w:t xml:space="preserve">商需具有完善的规章制度，包括但不限于</w:t>
      </w:r>
      <w:r>
        <w:rPr>
          <w:rFonts w:hint="eastAsia" w:ascii="宋体" w:hAnsi="宋体" w:eastAsia="宋体" w:cs="Times New Roman"/>
          <w:color w:val="auto"/>
          <w:sz w:val="21"/>
          <w:szCs w:val="21"/>
          <w:highlight w:val="none"/>
          <w:lang w:val="zh-CN" w:eastAsia="zh-CN"/>
        </w:rPr>
        <w:t xml:space="preserve">维修流程制度、</w:t>
      </w:r>
      <w:r>
        <w:rPr>
          <w:rFonts w:hint="eastAsia" w:ascii="宋体" w:hAnsi="宋体" w:eastAsia="宋体" w:cs="Times New Roman"/>
          <w:color w:val="auto"/>
          <w:sz w:val="21"/>
          <w:szCs w:val="21"/>
          <w:highlight w:val="none"/>
          <w:lang w:val="zh-CN"/>
        </w:rPr>
        <w:t xml:space="preserve">质量管理制度、车辆维修档案管理制度、配件管理制度、</w:t>
      </w:r>
      <w:r>
        <w:rPr>
          <w:rFonts w:hint="eastAsia" w:ascii="宋体" w:hAnsi="宋体" w:eastAsia="宋体" w:cs="Times New Roman"/>
          <w:color w:val="auto"/>
          <w:sz w:val="21"/>
          <w:szCs w:val="21"/>
          <w:highlight w:val="none"/>
          <w:lang w:val="zh-CN" w:eastAsia="zh-CN"/>
        </w:rPr>
        <w:t xml:space="preserve">应急管理制度以及安全管理制度</w:t>
      </w:r>
      <w:r>
        <w:rPr>
          <w:rFonts w:hint="eastAsia" w:ascii="宋体" w:hAnsi="宋体" w:eastAsia="宋体" w:cs="Times New Roman"/>
          <w:color w:val="auto"/>
          <w:sz w:val="21"/>
          <w:szCs w:val="21"/>
          <w:highlight w:val="none"/>
          <w:lang w:val="zh-CN"/>
        </w:rPr>
        <w:t xml:space="preserve">等。</w:t>
      </w:r>
      <w:r/>
    </w:p>
    <w:p>
      <w:pPr>
        <w:numPr>
          <w:ilvl w:val="0"/>
          <w:numId w:val="0"/>
        </w:num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zh-CN" w:eastAsia="zh-CN" w:bidi="ar-SA"/>
        </w:rPr>
        <w:t xml:space="preserve">考虑采购单位车辆作业的特殊性，维修服务商必须承诺全年365天提供维修服务。</w:t>
      </w:r>
      <w:r/>
    </w:p>
    <w:p>
      <w:pPr>
        <w:numPr>
          <w:ilvl w:val="0"/>
          <w:numId w:val="0"/>
        </w:num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5、</w:t>
      </w:r>
      <w:r>
        <w:rPr>
          <w:rFonts w:hint="eastAsia" w:ascii="宋体" w:hAnsi="宋体" w:eastAsia="宋体" w:cs="Times New Roman"/>
          <w:color w:val="auto"/>
          <w:sz w:val="21"/>
          <w:szCs w:val="21"/>
          <w:highlight w:val="none"/>
          <w:lang w:val="zh-CN" w:eastAsia="zh-CN" w:bidi="ar-SA"/>
        </w:rPr>
        <w:t xml:space="preserve">维修项目在质量保证期内发生故障的，维修服务商必须及时免费处理。在接到用户故障通知后10分钟内响应，</w:t>
      </w:r>
      <w:r>
        <w:rPr>
          <w:rFonts w:hint="eastAsia" w:ascii="宋体" w:hAnsi="宋体" w:cs="Times New Roman"/>
          <w:color w:val="auto"/>
          <w:sz w:val="21"/>
          <w:szCs w:val="21"/>
          <w:highlight w:val="none"/>
          <w:lang w:val="en-US" w:eastAsia="zh-CN" w:bidi="ar-SA"/>
        </w:rPr>
        <w:t xml:space="preserve">90</w:t>
      </w:r>
      <w:r>
        <w:rPr>
          <w:rFonts w:hint="eastAsia" w:ascii="宋体" w:hAnsi="宋体" w:eastAsia="宋体" w:cs="Times New Roman"/>
          <w:color w:val="auto"/>
          <w:sz w:val="21"/>
          <w:szCs w:val="21"/>
          <w:highlight w:val="none"/>
          <w:lang w:val="zh-CN" w:eastAsia="zh-CN" w:bidi="ar-SA"/>
        </w:rPr>
        <w:t xml:space="preserve">分钟之内到达现场，一般故障在2小时内解决，复杂故障不超过24小时内解决（特殊情况除外）；</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zh-CN" w:eastAsia="zh-CN" w:bidi="ar-SA"/>
        </w:rPr>
        <w:t xml:space="preserve">维修服务商应提供采购单位需维修车辆免费接送至其维修厂区进行维修的服务，并负责路途及厂修理期间发生意外所需承担的责任，做好车辆维修档案（一车一档），</w:t>
      </w:r>
      <w:r>
        <w:rPr>
          <w:rFonts w:hint="eastAsia" w:ascii="宋体" w:hAnsi="宋体" w:eastAsia="宋体" w:cs="Times New Roman"/>
          <w:color w:val="auto"/>
          <w:sz w:val="21"/>
          <w:szCs w:val="21"/>
          <w:highlight w:val="none"/>
          <w:lang w:val="en-US" w:eastAsia="zh-CN" w:bidi="ar-SA"/>
        </w:rPr>
        <w:t xml:space="preserve">维修档案中应记录车辆信息、进厂检查记录、过程记录、完工检查记录、维修合同、材料明细清单等信息</w:t>
      </w:r>
      <w:r>
        <w:rPr>
          <w:rFonts w:hint="eastAsia" w:ascii="宋体" w:hAnsi="宋体" w:eastAsia="宋体" w:cs="Times New Roman"/>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7、维修服务商提供的售后服务：为采购单位提供客户满意提供完善的售后服务体系应包括快速响应、质量保障、客户关怀和持续改进等核心模块。</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（1）维修后质检与交车：三级质检制度、交车标准化流程等；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（2）维修后跟踪服务：设定回访机制、紧急问题通道；</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（3）</w:t>
      </w:r>
      <w:r>
        <w:rPr>
          <w:rFonts w:hint="eastAsia" w:ascii="宋体" w:hAnsi="宋体" w:eastAsia="宋体" w:cs="Times New Roman"/>
          <w:color w:val="auto"/>
          <w:sz w:val="21"/>
          <w:szCs w:val="21"/>
          <w:highlight w:val="none"/>
          <w:lang w:val="en-US" w:eastAsia="zh-CN" w:bidi="ar-SA"/>
        </w:rPr>
        <w:t xml:space="preserve">配备</w:t>
      </w:r>
      <w:r>
        <w:rPr>
          <w:rFonts w:hint="eastAsia" w:ascii="宋体" w:hAnsi="宋体" w:eastAsia="宋体" w:cs="Times New Roman"/>
          <w:color w:val="auto"/>
          <w:sz w:val="21"/>
          <w:szCs w:val="21"/>
          <w:highlight w:val="none"/>
          <w:lang w:val="zh-CN" w:eastAsia="zh-CN" w:bidi="ar-SA"/>
        </w:rPr>
        <w:t xml:space="preserve">售后</w:t>
      </w:r>
      <w:r>
        <w:rPr>
          <w:rFonts w:hint="eastAsia" w:ascii="宋体" w:hAnsi="宋体" w:eastAsia="宋体" w:cs="Times New Roman"/>
          <w:color w:val="auto"/>
          <w:sz w:val="21"/>
          <w:szCs w:val="21"/>
          <w:highlight w:val="none"/>
          <w:lang w:val="en-US" w:eastAsia="zh-CN" w:bidi="ar-SA"/>
        </w:rPr>
        <w:t xml:space="preserve">服务</w:t>
      </w:r>
      <w:r>
        <w:rPr>
          <w:rFonts w:hint="eastAsia" w:ascii="宋体" w:hAnsi="宋体" w:eastAsia="宋体" w:cs="Times New Roman"/>
          <w:color w:val="auto"/>
          <w:sz w:val="21"/>
          <w:szCs w:val="21"/>
          <w:highlight w:val="none"/>
          <w:lang w:val="zh-CN" w:eastAsia="zh-CN" w:bidi="ar-SA"/>
        </w:rPr>
        <w:t xml:space="preserve">人员：专属客服、专员一对一服务、投诉处理等；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（4）售后服务承诺、</w:t>
      </w:r>
      <w:r>
        <w:rPr>
          <w:rFonts w:hint="eastAsia" w:ascii="宋体" w:hAnsi="宋体" w:eastAsia="宋体" w:cs="Times New Roman"/>
          <w:color w:val="auto"/>
          <w:sz w:val="21"/>
          <w:szCs w:val="21"/>
          <w:highlight w:val="none"/>
          <w:lang w:val="en-US" w:eastAsia="zh-CN" w:bidi="ar-SA"/>
        </w:rPr>
        <w:t xml:space="preserve">定期培训</w:t>
      </w:r>
      <w:r>
        <w:rPr>
          <w:rFonts w:hint="eastAsia" w:ascii="宋体" w:hAnsi="宋体" w:eastAsia="宋体" w:cs="Times New Roman"/>
          <w:color w:val="auto"/>
          <w:sz w:val="21"/>
          <w:szCs w:val="21"/>
          <w:highlight w:val="none"/>
          <w:lang w:val="zh-CN" w:eastAsia="zh-CN" w:bidi="ar-SA"/>
        </w:rPr>
        <w:t xml:space="preserve">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zh-CN" w:eastAsia="zh-CN" w:bidi="ar-SA"/>
        </w:rPr>
        <w:t xml:space="preserve">8、</w:t>
      </w:r>
      <w:r>
        <w:rPr>
          <w:rFonts w:hint="eastAsia" w:ascii="宋体" w:hAnsi="宋体" w:eastAsia="宋体" w:cs="Times New Roman"/>
          <w:color w:val="auto"/>
          <w:sz w:val="21"/>
          <w:szCs w:val="21"/>
          <w:highlight w:val="none"/>
          <w:lang w:val="en-US" w:eastAsia="zh-CN" w:bidi="ar-SA"/>
        </w:rPr>
        <w:t xml:space="preserve">维修服务商对车辆的保养要求：</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zh-CN" w:eastAsia="zh-CN" w:bidi="ar-SA"/>
        </w:rPr>
        <w:t xml:space="preserve">维修服务商应定期针对采购单位车辆的维修状况、故障类型分部及比例等情况进行汇总分析，每半年向采购单位提交一份维修状况汇总及下一阶段维修保养合理化建议；</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2</w:t>
      </w:r>
      <w:r>
        <w:rPr>
          <w:rFonts w:hint="eastAsia" w:ascii="宋体" w:hAnsi="宋体" w:eastAsia="宋体" w:cs="Times New Roman"/>
          <w:color w:val="auto"/>
          <w:sz w:val="21"/>
          <w:szCs w:val="21"/>
          <w:highlight w:val="none"/>
          <w:lang w:val="zh-CN" w:eastAsia="zh-CN" w:bidi="ar-SA"/>
        </w:rPr>
        <w:t xml:space="preserve">）维修服务商对于所有车辆、按照原厂保养手册进行保养。</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3</w:t>
      </w:r>
      <w:r>
        <w:rPr>
          <w:rFonts w:hint="eastAsia" w:ascii="宋体" w:hAnsi="宋体" w:eastAsia="宋体" w:cs="Times New Roman"/>
          <w:color w:val="auto"/>
          <w:sz w:val="21"/>
          <w:szCs w:val="21"/>
          <w:highlight w:val="none"/>
          <w:lang w:val="zh-CN" w:eastAsia="zh-CN" w:bidi="ar-SA"/>
        </w:rPr>
        <w:t xml:space="preserve">）维修服务商在完成维修、维护服务后需对相应车辆进行清洗及保养工作。</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9、维修服务商应提供应急救援：</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zh-CN" w:eastAsia="zh-CN" w:bidi="ar-SA"/>
        </w:rPr>
        <w:t xml:space="preserve">（1）维修服务商应在采购单位车辆在外抛锚时，提供24小时应急救援服务，配备有明显标志的抢修车，在接到救援请求后</w:t>
      </w:r>
      <w:r>
        <w:rPr>
          <w:rFonts w:hint="eastAsia" w:ascii="宋体" w:hAnsi="宋体" w:cs="Times New Roman"/>
          <w:color w:val="auto"/>
          <w:sz w:val="21"/>
          <w:szCs w:val="21"/>
          <w:highlight w:val="none"/>
          <w:lang w:val="en-US" w:eastAsia="zh-CN" w:bidi="ar-SA"/>
        </w:rPr>
        <w:t xml:space="preserve">90</w:t>
      </w:r>
      <w:r>
        <w:rPr>
          <w:rFonts w:hint="eastAsia" w:ascii="宋体" w:hAnsi="宋体" w:eastAsia="宋体" w:cs="Times New Roman"/>
          <w:color w:val="auto"/>
          <w:sz w:val="21"/>
          <w:szCs w:val="21"/>
          <w:highlight w:val="none"/>
          <w:lang w:val="zh-CN" w:eastAsia="zh-CN" w:bidi="ar-SA"/>
        </w:rPr>
        <w:t xml:space="preserve">分钟内派人赶到救援现场。</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（2）维修服务商应提供节假日、雨雪冰冻灾害性天气、迎检保障任务等应急状况时安排专人入驻采购单位指定地点现场保障服务。</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2.1</w:t>
      </w: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节假日</w:t>
      </w:r>
      <w:r>
        <w:rPr>
          <w:rFonts w:hint="eastAsia" w:ascii="宋体" w:hAnsi="宋体" w:eastAsia="宋体" w:cs="Times New Roman"/>
          <w:color w:val="auto"/>
          <w:sz w:val="21"/>
          <w:szCs w:val="21"/>
          <w:highlight w:val="none"/>
          <w:lang w:val="zh-CN" w:eastAsia="zh-CN" w:bidi="ar-SA"/>
        </w:rPr>
        <w:t xml:space="preserve">分场景处置流程：</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2.1</w:t>
      </w: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lang w:val="zh-CN" w:eastAsia="zh-CN" w:bidi="ar-SA"/>
        </w:rPr>
        <w:t xml:space="preserve">节假日客流高峰可以电话或维修平台10分钟基础诊断，区分紧急/非紧急工单；</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w:t>
      </w:r>
      <w:r>
        <w:rPr>
          <w:rFonts w:hint="eastAsia" w:ascii="宋体" w:hAnsi="宋体" w:eastAsia="宋体" w:cs="Times New Roman"/>
          <w:color w:val="auto"/>
          <w:sz w:val="21"/>
          <w:szCs w:val="21"/>
          <w:highlight w:val="none"/>
          <w:lang w:val="en-US" w:eastAsia="zh-CN" w:bidi="ar-SA"/>
        </w:rPr>
        <w:t xml:space="preserve">.1.2</w:t>
      </w:r>
      <w:r>
        <w:rPr>
          <w:rFonts w:hint="eastAsia" w:ascii="宋体" w:hAnsi="宋体" w:eastAsia="宋体" w:cs="Times New Roman"/>
          <w:color w:val="auto"/>
          <w:sz w:val="21"/>
          <w:szCs w:val="21"/>
          <w:highlight w:val="none"/>
          <w:lang w:val="zh-CN" w:eastAsia="zh-CN" w:bidi="ar-SA"/>
        </w:rPr>
        <w:t xml:space="preserve">合作第三方上门服务：简单故障（换胎、搭电）由认证技师就近处理。</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2.2</w:t>
      </w: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灾害性天气</w:t>
      </w:r>
      <w:r>
        <w:rPr>
          <w:rFonts w:hint="eastAsia" w:ascii="宋体" w:hAnsi="宋体" w:eastAsia="宋体" w:cs="Times New Roman"/>
          <w:color w:val="auto"/>
          <w:sz w:val="21"/>
          <w:szCs w:val="21"/>
          <w:highlight w:val="none"/>
          <w:lang w:val="zh-CN" w:eastAsia="zh-CN" w:bidi="ar-SA"/>
        </w:rPr>
        <w:t xml:space="preserve">服务商应急响应机制：</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2.2</w:t>
      </w:r>
      <w:r>
        <w:rPr>
          <w:rFonts w:hint="eastAsia" w:ascii="宋体" w:hAnsi="宋体" w:eastAsia="宋体" w:cs="Times New Roman"/>
          <w:color w:val="auto"/>
          <w:sz w:val="21"/>
          <w:szCs w:val="21"/>
          <w:highlight w:val="none"/>
          <w:lang w:val="zh-CN" w:eastAsia="zh-CN" w:bidi="ar-SA"/>
        </w:rPr>
        <w:t xml:space="preserve">.1弹性排班；比如实行"双倍人员轮岗制"，确保24小时响应（如A/B组交替值班）。  雨雪天气前48小时启动"紧急待命状态"，取消非必要休假；</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2.2</w:t>
      </w:r>
      <w:r>
        <w:rPr>
          <w:rFonts w:hint="eastAsia" w:ascii="宋体" w:hAnsi="宋体" w:eastAsia="宋体" w:cs="Times New Roman"/>
          <w:color w:val="auto"/>
          <w:sz w:val="21"/>
          <w:szCs w:val="21"/>
          <w:highlight w:val="none"/>
          <w:lang w:val="zh-CN" w:eastAsia="zh-CN" w:bidi="ar-SA"/>
        </w:rPr>
        <w:t xml:space="preserve">.2技能强化，如提前培训极端天气维修技能（如电池低温抢救、防冻液紧急调配）；</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en-US" w:eastAsia="zh-CN" w:bidi="ar-SA"/>
        </w:rPr>
        <w:t xml:space="preserve">2.2</w:t>
      </w:r>
      <w:r>
        <w:rPr>
          <w:rFonts w:hint="eastAsia" w:ascii="宋体" w:hAnsi="宋体" w:eastAsia="宋体" w:cs="Times New Roman"/>
          <w:color w:val="auto"/>
          <w:sz w:val="21"/>
          <w:szCs w:val="21"/>
          <w:highlight w:val="none"/>
          <w:lang w:val="zh-CN" w:eastAsia="zh-CN" w:bidi="ar-SA"/>
        </w:rPr>
        <w:t xml:space="preserve">.3专用设备、配件储存等物资储备升级。</w:t>
      </w:r>
      <w:r/>
    </w:p>
    <w:p>
      <w:pPr>
        <w:ind w:firstLine="420"/>
        <w:jc w:val="both"/>
        <w:keepLines w:val="0"/>
        <w:keepNext w:val="0"/>
        <w:pageBreakBefore w:val="0"/>
        <w:spacing w:line="360" w:lineRule="auto"/>
        <w:widowControl w:val="off"/>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2.3</w:t>
      </w: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迎检保障任务</w:t>
      </w:r>
      <w:r>
        <w:rPr>
          <w:rFonts w:hint="eastAsia" w:ascii="宋体" w:hAnsi="宋体" w:eastAsia="宋体" w:cs="Times New Roman"/>
          <w:color w:val="auto"/>
          <w:sz w:val="21"/>
          <w:szCs w:val="21"/>
          <w:highlight w:val="none"/>
          <w:lang w:val="zh-CN" w:eastAsia="zh-CN" w:bidi="ar-SA"/>
        </w:rPr>
        <w:t xml:space="preserve">：</w:t>
      </w:r>
      <w:r>
        <w:rPr>
          <w:rFonts w:hint="eastAsia" w:ascii="宋体" w:hAnsi="宋体" w:eastAsia="宋体" w:cs="Times New Roman"/>
          <w:color w:val="auto"/>
          <w:sz w:val="21"/>
          <w:szCs w:val="21"/>
          <w:highlight w:val="none"/>
          <w:lang w:val="en-US" w:eastAsia="zh-CN" w:bidi="ar-SA"/>
        </w:rPr>
        <w:t xml:space="preserve">为高效完成迎检保障任务（如行业主管部门检查、质量认证审核、重大活动保障等），需要建立标准化、可追溯的应对体系等。比如：成立专项小组、重点区域的攻坚清单、检查当日执行的策略、检查完改进的方案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default" w:ascii="宋体" w:hAnsi="宋体" w:eastAsia="宋体" w:cs="Times New Roman"/>
          <w:color w:val="auto"/>
          <w:sz w:val="21"/>
          <w:szCs w:val="21"/>
          <w:highlight w:val="none"/>
          <w:lang w:val="zh-CN" w:eastAsia="zh-CN" w:bidi="ar-SA"/>
        </w:rPr>
        <w:t xml:space="preserve">0</w:t>
      </w:r>
      <w:r>
        <w:rPr>
          <w:rFonts w:hint="eastAsia" w:ascii="宋体" w:hAnsi="宋体" w:eastAsia="宋体" w:cs="Times New Roman"/>
          <w:color w:val="auto"/>
          <w:sz w:val="21"/>
          <w:szCs w:val="21"/>
          <w:highlight w:val="none"/>
          <w:lang w:val="zh-CN" w:eastAsia="zh-CN" w:bidi="ar-SA"/>
        </w:rPr>
        <w:t xml:space="preserve">、维修服务商针对车辆小修需在2天内完成，大修需在5天内完成，如有特殊情况无法在限定时间内完成的，需向甲方提出书面申请，经甲方同意后方可延期，未经甲方同意的维修延期行为，在当月考核中扣分，一次扣3分。</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default" w:ascii="宋体" w:hAnsi="宋体" w:eastAsia="宋体" w:cs="Times New Roman"/>
          <w:color w:val="auto"/>
          <w:sz w:val="21"/>
          <w:szCs w:val="21"/>
          <w:highlight w:val="none"/>
          <w:lang w:val="zh-CN" w:eastAsia="zh-CN" w:bidi="ar-SA"/>
        </w:rPr>
        <w:t xml:space="preserve">1</w:t>
      </w:r>
      <w:r>
        <w:rPr>
          <w:rFonts w:hint="eastAsia" w:ascii="宋体" w:hAnsi="宋体" w:eastAsia="宋体" w:cs="Times New Roman"/>
          <w:color w:val="auto"/>
          <w:sz w:val="21"/>
          <w:szCs w:val="21"/>
          <w:highlight w:val="none"/>
          <w:lang w:val="zh-CN" w:eastAsia="zh-CN" w:bidi="ar-SA"/>
        </w:rPr>
        <w:t xml:space="preserve">、维修服务商应定期免费检测调整车辆制动、灯光、空调等系统。</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default" w:ascii="宋体" w:hAnsi="宋体" w:eastAsia="宋体" w:cs="Times New Roman"/>
          <w:color w:val="auto"/>
          <w:sz w:val="21"/>
          <w:szCs w:val="21"/>
          <w:highlight w:val="none"/>
          <w:lang w:val="zh-CN" w:eastAsia="zh-CN" w:bidi="ar-SA"/>
        </w:rPr>
        <w:t xml:space="preserve">2</w:t>
      </w:r>
      <w:r>
        <w:rPr>
          <w:rFonts w:hint="eastAsia" w:ascii="宋体" w:hAnsi="宋体" w:eastAsia="宋体" w:cs="Times New Roman"/>
          <w:color w:val="auto"/>
          <w:sz w:val="21"/>
          <w:szCs w:val="21"/>
          <w:highlight w:val="none"/>
          <w:lang w:val="zh-CN" w:eastAsia="zh-CN" w:bidi="ar-SA"/>
        </w:rPr>
        <w:t xml:space="preserve">、车辆因交通事故引起的保险索赔及车辆年检由维修服务商提供免费代办服务。</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default" w:ascii="宋体" w:hAnsi="宋体" w:eastAsia="宋体" w:cs="Times New Roman"/>
          <w:color w:val="auto"/>
          <w:sz w:val="21"/>
          <w:szCs w:val="21"/>
          <w:highlight w:val="none"/>
          <w:lang w:val="zh-CN" w:eastAsia="zh-CN" w:bidi="ar-SA"/>
        </w:rPr>
        <w:t xml:space="preserve">3</w:t>
      </w:r>
      <w:r>
        <w:rPr>
          <w:rFonts w:hint="eastAsia" w:ascii="宋体" w:hAnsi="宋体" w:eastAsia="宋体" w:cs="Times New Roman"/>
          <w:color w:val="auto"/>
          <w:sz w:val="21"/>
          <w:szCs w:val="21"/>
          <w:highlight w:val="none"/>
          <w:lang w:val="zh-CN" w:eastAsia="zh-CN" w:bidi="ar-SA"/>
        </w:rPr>
        <w:t xml:space="preserve">、车辆维修期间维修服务商不得上路试车，如确需试车须经采购单位同意，且试车期间若发生任何意外由维修服务商自行承担相关责任。</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eastAsia" w:ascii="宋体" w:hAnsi="宋体" w:eastAsia="宋体" w:cs="Times New Roman"/>
          <w:color w:val="auto"/>
          <w:sz w:val="21"/>
          <w:szCs w:val="21"/>
          <w:highlight w:val="none"/>
          <w:lang w:val="en-US" w:eastAsia="zh-CN" w:bidi="ar-SA"/>
        </w:rPr>
        <w:t xml:space="preserve">4</w:t>
      </w:r>
      <w:r>
        <w:rPr>
          <w:rFonts w:hint="eastAsia" w:ascii="宋体" w:hAnsi="宋体" w:eastAsia="宋体" w:cs="Times New Roman"/>
          <w:color w:val="auto"/>
          <w:sz w:val="21"/>
          <w:szCs w:val="21"/>
          <w:highlight w:val="none"/>
          <w:lang w:val="zh-CN" w:eastAsia="zh-CN" w:bidi="ar-SA"/>
        </w:rPr>
        <w:t xml:space="preserve">、维修服务商应当建立配件材料的进、出厂管理制度，明码标价。对采购、使用的配件材料、分别建立登记台</w:t>
      </w:r>
      <w:r>
        <w:rPr>
          <w:rFonts w:hint="eastAsia" w:ascii="宋体" w:hAnsi="宋体" w:cs="Times New Roman"/>
          <w:color w:val="auto"/>
          <w:sz w:val="21"/>
          <w:szCs w:val="21"/>
          <w:highlight w:val="none"/>
          <w:lang w:val="zh-CN" w:eastAsia="zh-CN" w:bidi="ar-SA"/>
        </w:rPr>
        <w:t xml:space="preserve">账</w:t>
      </w:r>
      <w:r>
        <w:rPr>
          <w:rFonts w:hint="eastAsia" w:ascii="宋体" w:hAnsi="宋体" w:eastAsia="宋体" w:cs="Times New Roman"/>
          <w:color w:val="auto"/>
          <w:sz w:val="21"/>
          <w:szCs w:val="21"/>
          <w:highlight w:val="none"/>
          <w:lang w:val="zh-CN" w:eastAsia="zh-CN" w:bidi="ar-SA"/>
        </w:rPr>
        <w:t xml:space="preserve">，内容包括日期、名称、规格、数量、标记、责任人、产地、生产厂家、合格证及质量保证书，确保配件材料发生质量问题时可溯源。</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eastAsia" w:ascii="宋体" w:hAnsi="宋体" w:eastAsia="宋体" w:cs="Times New Roman"/>
          <w:color w:val="auto"/>
          <w:sz w:val="21"/>
          <w:szCs w:val="21"/>
          <w:highlight w:val="none"/>
          <w:lang w:val="en-US" w:eastAsia="zh-CN" w:bidi="ar-SA"/>
        </w:rPr>
        <w:t xml:space="preserve">5</w:t>
      </w:r>
      <w:r>
        <w:rPr>
          <w:rFonts w:hint="eastAsia" w:ascii="宋体" w:hAnsi="宋体" w:eastAsia="宋体" w:cs="Times New Roman"/>
          <w:color w:val="auto"/>
          <w:sz w:val="21"/>
          <w:szCs w:val="21"/>
          <w:highlight w:val="none"/>
          <w:lang w:val="zh-CN" w:eastAsia="zh-CN" w:bidi="ar-SA"/>
        </w:rPr>
        <w:t xml:space="preserve">、维修服务商场</w:t>
      </w:r>
      <w:r>
        <w:rPr>
          <w:rFonts w:hint="eastAsia" w:ascii="宋体" w:hAnsi="宋体" w:eastAsia="宋体" w:cs="Times New Roman"/>
          <w:color w:val="auto"/>
          <w:sz w:val="21"/>
          <w:szCs w:val="21"/>
          <w:highlight w:val="none"/>
          <w:lang w:val="en-US" w:eastAsia="zh-CN" w:bidi="ar-SA"/>
        </w:rPr>
        <w:t xml:space="preserve">维修的</w:t>
      </w:r>
      <w:r>
        <w:rPr>
          <w:rFonts w:hint="eastAsia" w:ascii="宋体" w:hAnsi="宋体" w:eastAsia="宋体" w:cs="Times New Roman"/>
          <w:color w:val="auto"/>
          <w:sz w:val="21"/>
          <w:szCs w:val="21"/>
          <w:highlight w:val="none"/>
          <w:lang w:val="zh-CN" w:eastAsia="zh-CN" w:bidi="ar-SA"/>
        </w:rPr>
        <w:t xml:space="preserve">地及设备需符合消防和环保相关规范：</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（1）场地规划与安全布局：功能区划分、安全间距标准等；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（2）消防管理规范：消防设施配置、动火作业管理等；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（3）环保合规要求：废弃物分类处置、污染防控措施等；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（4）设备安全标准：特种设备管理、电气安全等；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（5）应急响应机制：应急预案、应急物资清单等；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（6）</w:t>
      </w:r>
      <w:r>
        <w:rPr>
          <w:rFonts w:hint="eastAsia" w:ascii="宋体" w:hAnsi="宋体" w:eastAsia="宋体" w:cs="Times New Roman"/>
          <w:color w:val="auto"/>
          <w:sz w:val="21"/>
          <w:szCs w:val="21"/>
          <w:highlight w:val="none"/>
          <w:lang w:val="en-US" w:eastAsia="zh-CN" w:bidi="ar-SA"/>
        </w:rPr>
        <w:t xml:space="preserve">污染管控与改进</w:t>
      </w:r>
      <w:r>
        <w:rPr>
          <w:rFonts w:hint="eastAsia" w:ascii="宋体" w:hAnsi="宋体" w:eastAsia="宋体" w:cs="Times New Roman"/>
          <w:color w:val="auto"/>
          <w:sz w:val="21"/>
          <w:szCs w:val="21"/>
          <w:highlight w:val="none"/>
          <w:lang w:val="zh-CN" w:eastAsia="zh-CN" w:bidi="ar-SA"/>
        </w:rPr>
        <w:t xml:space="preserve">：危废合法处置，数据可追溯、日常检查表等。</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w:t>
      </w:r>
      <w:r>
        <w:rPr>
          <w:rFonts w:hint="eastAsia" w:ascii="宋体" w:hAnsi="宋体" w:eastAsia="宋体" w:cs="Times New Roman"/>
          <w:color w:val="auto"/>
          <w:sz w:val="21"/>
          <w:szCs w:val="21"/>
          <w:highlight w:val="none"/>
          <w:lang w:val="en-US" w:eastAsia="zh-CN" w:bidi="ar-SA"/>
        </w:rPr>
        <w:t xml:space="preserve">6</w:t>
      </w:r>
      <w:r>
        <w:rPr>
          <w:rFonts w:hint="eastAsia" w:ascii="宋体" w:hAnsi="宋体" w:eastAsia="宋体" w:cs="Times New Roman"/>
          <w:color w:val="auto"/>
          <w:sz w:val="21"/>
          <w:szCs w:val="21"/>
          <w:highlight w:val="none"/>
          <w:lang w:val="zh-CN" w:eastAsia="zh-CN" w:bidi="ar-SA"/>
        </w:rPr>
        <w:t xml:space="preserve">、维修服务商应严格履行廉政合同相关条款，杜绝腐败现象的出现。</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default" w:ascii="宋体" w:hAnsi="宋体" w:eastAsia="宋体" w:cs="Times New Roman"/>
          <w:color w:val="auto"/>
          <w:sz w:val="21"/>
          <w:szCs w:val="21"/>
          <w:highlight w:val="none"/>
          <w:lang w:val="zh-CN" w:eastAsia="zh-CN" w:bidi="ar-SA"/>
        </w:rPr>
        <w:t xml:space="preserve">1</w:t>
      </w:r>
      <w:r>
        <w:rPr>
          <w:rFonts w:hint="eastAsia" w:ascii="宋体" w:hAnsi="宋体" w:eastAsia="宋体" w:cs="Times New Roman"/>
          <w:color w:val="auto"/>
          <w:sz w:val="21"/>
          <w:szCs w:val="21"/>
          <w:highlight w:val="none"/>
          <w:lang w:val="en-US" w:eastAsia="zh-CN" w:bidi="ar-SA"/>
        </w:rPr>
        <w:t xml:space="preserve">7</w:t>
      </w:r>
      <w:r>
        <w:rPr>
          <w:rFonts w:hint="eastAsia" w:ascii="宋体" w:hAnsi="宋体" w:eastAsia="宋体" w:cs="Times New Roman"/>
          <w:color w:val="auto"/>
          <w:sz w:val="21"/>
          <w:szCs w:val="21"/>
          <w:highlight w:val="none"/>
          <w:lang w:val="zh-CN" w:eastAsia="zh-CN" w:bidi="ar-SA"/>
        </w:rPr>
        <w:t xml:space="preserve">、维修服务企业在维修服务期内的信息报送</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（1）维修企业在维修服务期内，每周向采购单位书面报送上周维修车辆维修清单，便于采购单位统计汇总；</w:t>
      </w:r>
      <w:r/>
    </w:p>
    <w:p>
      <w:pPr>
        <w:ind w:firstLine="420"/>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zh-CN" w:eastAsia="zh-CN" w:bidi="ar-SA"/>
        </w:rPr>
      </w:pPr>
      <w:r>
        <w:rPr>
          <w:rFonts w:hint="eastAsia" w:ascii="宋体" w:hAnsi="宋体" w:eastAsia="宋体" w:cs="Times New Roman"/>
          <w:color w:val="auto"/>
          <w:sz w:val="21"/>
          <w:szCs w:val="21"/>
          <w:highlight w:val="none"/>
          <w:lang w:val="zh-CN" w:eastAsia="zh-CN" w:bidi="ar-SA"/>
        </w:rPr>
        <w:t xml:space="preserve">（2）维修企业在维修服务期内，每月向采购单位书面报送本月维修车辆月报表，并提供相应电子表格，便于采购单位统计汇总、结算费用。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（3）维修企业在维修服务期内，如果配件市场价格发生较大变化，维修服务商须及时将配件的规格型号、配置及价格的变动情况书面通知采购单位，经采购单位确认后方可调整，否则调整无效。</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en-US" w:eastAsia="zh-CN" w:bidi="ar-SA"/>
        </w:rPr>
        <w:t xml:space="preserve">18</w:t>
      </w:r>
      <w:r>
        <w:rPr>
          <w:rFonts w:hint="eastAsia" w:ascii="宋体" w:hAnsi="宋体" w:eastAsia="宋体" w:cs="宋体"/>
          <w:color w:val="auto"/>
          <w:sz w:val="21"/>
          <w:szCs w:val="21"/>
          <w:highlight w:val="none"/>
          <w:lang w:val="zh-CN" w:eastAsia="zh-CN" w:bidi="ar-SA"/>
        </w:rPr>
        <w:t xml:space="preserve">、经检验仍可使用一定时期的换件，更换前必须征得采购单位同意，并有义务告知真实的技术状况或预期使用寿命，使用与否由采购单位决定。</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en-US" w:eastAsia="zh-CN" w:bidi="ar-SA"/>
        </w:rPr>
        <w:t xml:space="preserve">五</w:t>
      </w:r>
      <w:r>
        <w:rPr>
          <w:rFonts w:hint="eastAsia" w:ascii="宋体" w:hAnsi="宋体" w:eastAsia="宋体" w:cs="宋体"/>
          <w:b/>
          <w:color w:val="auto"/>
          <w:sz w:val="21"/>
          <w:szCs w:val="21"/>
          <w:highlight w:val="none"/>
          <w:lang w:val="zh-CN" w:eastAsia="zh-CN" w:bidi="ar-SA"/>
        </w:rPr>
        <w:t xml:space="preserve">、投标报价及费用支付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1、报价要求：</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zh-CN" w:eastAsia="zh-CN" w:bidi="ar-SA"/>
        </w:rPr>
        <w:t xml:space="preserve">）本次报价</w:t>
      </w:r>
      <w:r>
        <w:rPr>
          <w:rFonts w:hint="eastAsia" w:ascii="宋体" w:hAnsi="宋体" w:eastAsia="宋体" w:cs="宋体"/>
          <w:color w:val="auto"/>
          <w:sz w:val="21"/>
          <w:szCs w:val="21"/>
          <w:highlight w:val="none"/>
          <w:lang w:val="en-US" w:eastAsia="zh-CN" w:bidi="ar-SA"/>
        </w:rPr>
        <w:t xml:space="preserve">采用</w:t>
      </w:r>
      <w:r>
        <w:rPr>
          <w:rFonts w:hint="eastAsia" w:ascii="宋体" w:hAnsi="宋体" w:eastAsia="宋体" w:cs="宋体"/>
          <w:color w:val="auto"/>
          <w:sz w:val="21"/>
          <w:szCs w:val="21"/>
          <w:highlight w:val="none"/>
          <w:lang w:val="zh-CN" w:eastAsia="zh-CN" w:bidi="ar-SA"/>
        </w:rPr>
        <w:t xml:space="preserve">优惠率报价，</w:t>
      </w:r>
      <w:r>
        <w:rPr>
          <w:rFonts w:hint="eastAsia" w:ascii="宋体" w:hAnsi="宋体" w:eastAsia="宋体" w:cs="宋体"/>
          <w:color w:val="auto"/>
          <w:sz w:val="21"/>
          <w:szCs w:val="21"/>
          <w:highlight w:val="none"/>
          <w:lang w:val="en-US" w:eastAsia="zh-CN" w:bidi="ar-SA"/>
        </w:rPr>
        <w:t xml:space="preserve">投标报价一次报定，</w:t>
      </w:r>
      <w:r>
        <w:rPr>
          <w:rFonts w:hint="eastAsia" w:ascii="宋体" w:hAnsi="宋体" w:eastAsia="宋体" w:cs="宋体"/>
          <w:color w:val="auto"/>
          <w:sz w:val="21"/>
          <w:szCs w:val="21"/>
          <w:highlight w:val="none"/>
          <w:lang w:val="zh-CN"/>
        </w:rPr>
        <w:t xml:space="preserve">投标报</w:t>
      </w:r>
      <w:r>
        <w:rPr>
          <w:rFonts w:hint="eastAsia" w:ascii="宋体" w:hAnsi="宋体" w:eastAsia="宋体" w:cs="宋体"/>
          <w:color w:val="auto"/>
          <w:sz w:val="21"/>
          <w:szCs w:val="21"/>
          <w:highlight w:val="none"/>
        </w:rPr>
        <w:t xml:space="preserve">应包括完成该项工作所需的人工（包括工资、奖金、社保、正常节假日的加班费、人员餐费及完成标书合同规定服务内容发生的延时加班等费用）、</w:t>
      </w:r>
      <w:r>
        <w:rPr>
          <w:rFonts w:hint="eastAsia" w:ascii="宋体" w:hAnsi="宋体" w:eastAsia="宋体" w:cs="宋体"/>
          <w:color w:val="auto"/>
          <w:sz w:val="21"/>
          <w:szCs w:val="21"/>
          <w:highlight w:val="none"/>
          <w:lang w:val="zh-CN" w:eastAsia="zh-CN" w:bidi="ar-SA"/>
        </w:rPr>
        <w:t xml:space="preserve">配件费用、车辆费用、运行管理、设备维护、保险、利润、税金、政策性文件规定及合同包含的所有风险、责任等各项应有费用。除合同另行规定以外，采购单位不再支付任何其他费用。</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rPr>
        <w:t xml:space="preserve">投标报价中必须适当考虑不在预期中的未知费用。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w:t>
      </w:r>
      <w:r>
        <w:rPr>
          <w:rFonts w:hint="eastAsia" w:ascii="宋体" w:hAnsi="宋体" w:eastAsia="宋体" w:cs="宋体"/>
          <w:color w:val="auto"/>
          <w:sz w:val="21"/>
          <w:szCs w:val="21"/>
          <w:highlight w:val="none"/>
          <w:lang w:val="en-US" w:eastAsia="zh-CN" w:bidi="ar-SA"/>
        </w:rPr>
        <w:t xml:space="preserve">费用结算：</w:t>
      </w:r>
      <w:r>
        <w:rPr>
          <w:rFonts w:hint="eastAsia" w:ascii="宋体" w:hAnsi="宋体" w:eastAsia="宋体" w:cs="宋体"/>
          <w:color w:val="auto"/>
          <w:sz w:val="21"/>
          <w:szCs w:val="21"/>
          <w:highlight w:val="none"/>
          <w:lang w:val="zh-CN" w:eastAsia="zh-CN" w:bidi="ar-SA"/>
        </w:rPr>
        <w:t xml:space="preserve">维修费用等于维修材料费（包含维修诊断费、检测费、加工费其他等费用）加维修工时费（维修工时单价乘以结算工时定额）。</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（1）本项目按固定综合单价结算，数量按实际发生计算，综合单价=单价最高限价*</w:t>
      </w:r>
      <w:r>
        <w:rPr>
          <w:rFonts w:hint="eastAsia" w:ascii="宋体" w:hAnsi="宋体" w:eastAsia="宋体" w:cs="宋体"/>
          <w:color w:val="auto"/>
          <w:sz w:val="21"/>
          <w:szCs w:val="21"/>
          <w:highlight w:val="none"/>
          <w:lang w:val="en-US" w:eastAsia="zh-CN" w:bidi="ar-SA"/>
        </w:rPr>
        <w:t xml:space="preserve">（1-中标优惠率）</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（2）工时定额计算办法：江苏省交通运输协会汽车维修行业分会公布的2014版《江苏省机动车维修结算工时定额与收费指南》；维修工时费单价=工时单价最高限价*</w:t>
      </w:r>
      <w:r>
        <w:rPr>
          <w:rFonts w:hint="eastAsia" w:ascii="宋体" w:hAnsi="宋体" w:eastAsia="宋体" w:cs="宋体"/>
          <w:color w:val="auto"/>
          <w:sz w:val="21"/>
          <w:szCs w:val="21"/>
          <w:highlight w:val="none"/>
          <w:lang w:val="en-US" w:eastAsia="zh-CN" w:bidi="ar-SA"/>
        </w:rPr>
        <w:t xml:space="preserve">（1-中标优惠率）</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（3）汽车大修过程中必须更换总成件时，则最高可按该总成件大修工时定额的50%进行结算，采购单位送修某一总成件时，维修服务企业应在剔除该总成件的拆装工时后进行结算；</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（4）车辆维护过程中，发生与小修项目重叠的作业，不得再对该小修项目的工时进行重复计算；同一总成同时有二项以上小修作业的，可选择在较高小修项目工时费用基础上，增加30%进行结算；</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（5）同一车辆维修，发生总成大修、局部维护、小修等混合型修理作业，以及整形、喷漆等多门类作业时，可按工时定额规定的作业项目工时，逐项累计计算。</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（6）未列车型的维修工时定额，参照相近车型的作业项目工时定额进行结算，没有相近车型参照的，由采购单位、维修服务企业双方协商确定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7）车辆维修竣工后，如需委托机动车综合性能检测机构对车辆进行检测所发生的费用，由维修服务企业承担，车辆维修前的故障诊断费用，已包含在配件材料投标报价中，由维修服务企业承担，需要检测的项目和要求，应符合国家有关规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（8）维修中使用的总成件、零配件和原材料等，配件目录以外的配件，按市场实际购进价，加上合理的进销差价率进行结算，本项目材料的进销差价率为</w:t>
      </w:r>
      <w:r>
        <w:rPr>
          <w:rFonts w:hint="eastAsia" w:ascii="宋体" w:hAnsi="宋体" w:eastAsia="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zh-CN" w:eastAsia="zh-CN" w:bidi="ar-SA"/>
        </w:rPr>
        <w:t xml:space="preserve">%；差价率=（销售单价﹣购进单价）/购进单价×100%。</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（9）车辆维修过程中使用的低值辅助材料的费用，已包含在工时费用中，维修服务企业不得另行收取《江苏省机动车维修结算工时定额与收费指南》中所规定的机动车维修辅助材料费用；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10）维修服务企业使用的修复件和自制件，必须达到双方约定的质量要求。修复件费用最高按同类配件市场价格的50%进行结算。自制件费用，可按实际发生的费用进行结算。修复件和自制件应在维修材料清单中列出并注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（11）维修服务商使用的修复件、自制件非原制造商认可的配件修、装车辆，应征得采购单位的同意，未经同意而造成的后果，由维修服务商承担；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（12）维修服务商使用本企业所属经营部门所销售的维修配件，不得再次向采购单位加收材料进销差价率所发生的费用。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t xml:space="preserve">3、付款</w:t>
      </w:r>
      <w:r>
        <w:rPr>
          <w:rFonts w:hint="eastAsia" w:ascii="宋体" w:hAnsi="宋体" w:cs="宋体"/>
          <w:color w:val="auto"/>
          <w:sz w:val="21"/>
          <w:szCs w:val="21"/>
          <w:highlight w:val="none"/>
          <w:lang w:val="en-US" w:eastAsia="zh-CN" w:bidi="ar-SA"/>
        </w:rPr>
        <w:t xml:space="preserve">方式</w:t>
      </w:r>
      <w:r>
        <w:rPr>
          <w:rFonts w:hint="eastAsia" w:ascii="宋体" w:hAnsi="宋体" w:eastAsia="宋体" w:cs="宋体"/>
          <w:color w:val="auto"/>
          <w:sz w:val="21"/>
          <w:szCs w:val="21"/>
          <w:highlight w:val="none"/>
          <w:lang w:val="zh-CN" w:eastAsia="zh-CN" w:bidi="ar-SA"/>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付款方式一：</w:t>
      </w:r>
      <w:r>
        <w:rPr>
          <w:rFonts w:hint="eastAsia" w:ascii="宋体" w:hAnsi="宋体" w:eastAsia="宋体" w:cs="宋体"/>
          <w:color w:val="auto"/>
          <w:sz w:val="21"/>
          <w:szCs w:val="21"/>
          <w:highlight w:val="none"/>
          <w:lang w:val="zh-CN" w:eastAsia="zh-CN" w:bidi="ar-SA"/>
        </w:rPr>
        <w:t xml:space="preserve">维修费用按</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lang w:val="zh-CN" w:eastAsia="zh-CN" w:bidi="ar-SA"/>
        </w:rPr>
        <w:t xml:space="preserve">结算，</w:t>
      </w:r>
      <w:r>
        <w:rPr>
          <w:rFonts w:hint="eastAsia" w:ascii="宋体" w:hAnsi="宋体" w:eastAsia="宋体" w:cs="宋体"/>
          <w:color w:val="auto"/>
          <w:sz w:val="21"/>
          <w:szCs w:val="21"/>
          <w:highlight w:val="none"/>
          <w:lang w:val="en-US" w:eastAsia="zh-CN" w:bidi="ar-SA"/>
        </w:rPr>
        <w:t xml:space="preserve">每月</w:t>
      </w:r>
      <w:r>
        <w:rPr>
          <w:rFonts w:hint="eastAsia" w:ascii="宋体" w:hAnsi="宋体" w:eastAsia="宋体" w:cs="宋体"/>
          <w:color w:val="auto"/>
          <w:sz w:val="21"/>
          <w:szCs w:val="21"/>
          <w:highlight w:val="none"/>
          <w:lang w:val="zh-CN" w:eastAsia="zh-CN" w:bidi="ar-SA"/>
        </w:rPr>
        <w:t xml:space="preserve">付款金额=实际</w:t>
      </w:r>
      <w:r>
        <w:rPr>
          <w:rFonts w:hint="eastAsia" w:ascii="宋体" w:hAnsi="宋体" w:eastAsia="宋体" w:cs="宋体"/>
          <w:color w:val="auto"/>
          <w:sz w:val="21"/>
          <w:szCs w:val="21"/>
          <w:highlight w:val="none"/>
          <w:lang w:val="en-US" w:eastAsia="zh-CN" w:bidi="ar-SA"/>
        </w:rPr>
        <w:t xml:space="preserve">每个月</w:t>
      </w:r>
      <w:r>
        <w:rPr>
          <w:rFonts w:hint="eastAsia" w:ascii="宋体" w:hAnsi="宋体" w:eastAsia="宋体" w:cs="宋体"/>
          <w:color w:val="auto"/>
          <w:sz w:val="21"/>
          <w:szCs w:val="21"/>
          <w:highlight w:val="none"/>
          <w:lang w:val="zh-CN" w:eastAsia="zh-CN" w:bidi="ar-SA"/>
        </w:rPr>
        <w:t xml:space="preserve">发生费用-考核扣除款。</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u w:val="none"/>
          <w:lang w:val="en-US" w:eastAsia="zh-CN"/>
        </w:rPr>
        <w:t xml:space="preserve">付款方式二：</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val="en-US" w:eastAsia="zh-CN"/>
        </w:rPr>
        <w:t xml:space="preserve">（1）合同签订生效后支付合同金额的10%预付款，余款按月结算，</w:t>
      </w:r>
      <w:r>
        <w:rPr>
          <w:rFonts w:hint="eastAsia" w:ascii="宋体" w:hAnsi="宋体" w:eastAsia="宋体" w:cs="宋体"/>
          <w:color w:val="auto"/>
          <w:sz w:val="21"/>
          <w:szCs w:val="21"/>
          <w:highlight w:val="none"/>
          <w:lang w:val="en-US" w:eastAsia="zh-CN" w:bidi="ar-SA"/>
        </w:rPr>
        <w:t xml:space="preserve">每月</w:t>
      </w:r>
      <w:r>
        <w:rPr>
          <w:rFonts w:hint="eastAsia" w:ascii="宋体" w:hAnsi="宋体" w:eastAsia="宋体" w:cs="宋体"/>
          <w:color w:val="auto"/>
          <w:sz w:val="21"/>
          <w:szCs w:val="21"/>
          <w:highlight w:val="none"/>
          <w:lang w:val="zh-CN" w:eastAsia="zh-CN" w:bidi="ar-SA"/>
        </w:rPr>
        <w:t xml:space="preserve">付款金额=实际</w:t>
      </w:r>
      <w:r>
        <w:rPr>
          <w:rFonts w:hint="eastAsia" w:ascii="宋体" w:hAnsi="宋体" w:eastAsia="宋体" w:cs="宋体"/>
          <w:color w:val="auto"/>
          <w:sz w:val="21"/>
          <w:szCs w:val="21"/>
          <w:highlight w:val="none"/>
          <w:lang w:val="en-US" w:eastAsia="zh-CN" w:bidi="ar-SA"/>
        </w:rPr>
        <w:t xml:space="preserve">每个月</w:t>
      </w:r>
      <w:r>
        <w:rPr>
          <w:rFonts w:hint="eastAsia" w:ascii="宋体" w:hAnsi="宋体" w:eastAsia="宋体" w:cs="宋体"/>
          <w:color w:val="auto"/>
          <w:sz w:val="21"/>
          <w:szCs w:val="21"/>
          <w:highlight w:val="none"/>
          <w:lang w:val="zh-CN" w:eastAsia="zh-CN" w:bidi="ar-SA"/>
        </w:rPr>
        <w:t xml:space="preserve">发生费用-考核扣除款。</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（2）预付款扣回：甲方在第一个月付款中扣除全部预付款，若第一个月付款金额不足以全额扣回预付款，则差额部分从后续进度款中继续扣回，直至全部预付款扣清为止。</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en-US" w:eastAsia="zh-CN" w:bidi="en-US"/>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firstLine="422"/>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六</w:t>
      </w:r>
      <w:r>
        <w:rPr>
          <w:rFonts w:hint="eastAsia" w:ascii="宋体" w:hAnsi="宋体" w:eastAsia="宋体" w:cs="宋体"/>
          <w:b/>
          <w:bCs/>
          <w:color w:val="auto"/>
          <w:sz w:val="21"/>
          <w:szCs w:val="24"/>
          <w:highlight w:val="none"/>
        </w:rPr>
        <w:t xml:space="preserve">、验收要求：</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1、采购单位将不定期的组织对维修服务商的服务质量抽查和检查，维修服务商有义务予以配合，并提供方便；</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2、维修服务有效期内，如发生下列情况，采购单位将给予维修服务商终止维修服务合同：</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2.1在服务有效期内，累计3次以上（含3次）不按时向采购单位递交定点维修记录月报的；</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2.2维修服务商不履行本次投标所做出的价格优惠和售后服务承诺的；</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2.3配件（自制件及采购单位认可的满足国家规定标准检验合格的适用配件除外）不使用原厂正品的；</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2.4维修有效期内维修服务商若有质量及售后服务的投诉并经查属实的3次以上（含3次）。</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2.5采购单位有权将车辆维修好后，送生产厂商进行检测如果发现有与维修清单不符合的，中标单位须退赔相关费用。</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2.6维修服务商在服务期内维修服务有转包、外包情形的（除经采购单位书面同意需生产厂商维修的除外）</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3、采购单位有权在车辆维修前到生产厂商询价，如果生产厂商的报价低于维修服务商报价的，则维修服务商需按生产厂商的报价进行维修并结算。</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4、如果连续3次维修服务商无法修复同一故障，采购单位有权将车辆送至生产厂商授权的特约维修点进行维修，所需费用完全由维修服务商承担。</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5、维修服务商维修车辆的承诺的质量保质期不得低于交通运输部关于修改《机动车维修管理规定》的决定（中华人民共和国交通运输部令2019年第20号）文件规定要求。</w:t>
      </w:r>
      <w:r/>
    </w:p>
    <w:p>
      <w:pPr>
        <w:contextualSpacing/>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4"/>
          <w:highlight w:val="none"/>
          <w:lang w:val="en-US" w:eastAsia="zh-CN"/>
        </w:rPr>
        <w:t xml:space="preserve">七</w:t>
      </w:r>
      <w:r>
        <w:rPr>
          <w:rFonts w:hint="eastAsia" w:ascii="宋体" w:hAnsi="宋体" w:eastAsia="宋体" w:cs="宋体"/>
          <w:b/>
          <w:bCs/>
          <w:color w:val="auto"/>
          <w:sz w:val="21"/>
          <w:szCs w:val="24"/>
          <w:highlight w:val="none"/>
        </w:rPr>
        <w:t xml:space="preserve">、</w:t>
      </w:r>
      <w:r>
        <w:rPr>
          <w:rFonts w:hint="eastAsia" w:ascii="宋体" w:hAnsi="宋体" w:eastAsia="宋体" w:cs="宋体"/>
          <w:b/>
          <w:bCs/>
          <w:color w:val="auto"/>
          <w:sz w:val="21"/>
          <w:szCs w:val="21"/>
          <w:highlight w:val="none"/>
          <w:lang w:val="en-US" w:eastAsia="zh-CN"/>
        </w:rPr>
        <w:t xml:space="preserve">验收方式：</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）履约验收的实施主体：太仓市浮桥镇人民政府。</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）履约验收时间：每</w:t>
      </w:r>
      <w:r>
        <w:rPr>
          <w:rFonts w:hint="eastAsia" w:ascii="宋体" w:hAnsi="宋体" w:eastAsia="宋体" w:cs="宋体"/>
          <w:color w:val="auto"/>
          <w:sz w:val="21"/>
          <w:szCs w:val="21"/>
          <w:highlight w:val="none"/>
          <w:lang w:val="en-US" w:eastAsia="zh-CN"/>
        </w:rPr>
        <w:t xml:space="preserve">个月</w:t>
      </w:r>
      <w:r>
        <w:rPr>
          <w:rFonts w:hint="eastAsia" w:ascii="宋体" w:hAnsi="宋体" w:eastAsia="宋体" w:cs="宋体"/>
          <w:color w:val="auto"/>
          <w:sz w:val="21"/>
          <w:szCs w:val="21"/>
          <w:highlight w:val="none"/>
          <w:lang w:val="zh-CN" w:eastAsia="zh-CN"/>
        </w:rPr>
        <w:t xml:space="preserve">采购人对中标单位的</w:t>
      </w:r>
      <w:r>
        <w:rPr>
          <w:rFonts w:hint="eastAsia" w:ascii="宋体" w:hAnsi="宋体" w:eastAsia="宋体" w:cs="宋体"/>
          <w:color w:val="auto"/>
          <w:sz w:val="21"/>
          <w:szCs w:val="21"/>
          <w:highlight w:val="none"/>
          <w:lang w:val="en-US" w:eastAsia="zh-CN"/>
        </w:rPr>
        <w:t xml:space="preserve">车辆维修</w:t>
      </w:r>
      <w:r>
        <w:rPr>
          <w:rFonts w:hint="eastAsia" w:ascii="宋体" w:hAnsi="宋体" w:eastAsia="宋体" w:cs="宋体"/>
          <w:color w:val="auto"/>
          <w:sz w:val="21"/>
          <w:szCs w:val="21"/>
          <w:highlight w:val="none"/>
          <w:lang w:val="zh-CN" w:eastAsia="zh-CN"/>
        </w:rPr>
        <w:t xml:space="preserve">服务履约</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val="zh-CN" w:eastAsia="zh-CN"/>
        </w:rPr>
        <w:t xml:space="preserve">进行验收，</w:t>
      </w:r>
      <w:r>
        <w:rPr>
          <w:rFonts w:hint="eastAsia" w:ascii="宋体" w:hAnsi="宋体" w:eastAsia="宋体" w:cs="宋体"/>
          <w:color w:val="auto"/>
          <w:sz w:val="21"/>
          <w:szCs w:val="21"/>
          <w:highlight w:val="none"/>
          <w:lang w:val="en-US" w:eastAsia="zh-CN"/>
        </w:rPr>
        <w:t xml:space="preserve">验收前采购人向中标单位发出《政府采购履约验收通知单》（合同附件），验收完成后形成《政府采购履约验收书》（合同附件）</w:t>
      </w:r>
      <w:r>
        <w:rPr>
          <w:rFonts w:hint="eastAsia" w:ascii="宋体" w:hAnsi="宋体" w:eastAsia="宋体" w:cs="宋体"/>
          <w:color w:val="auto"/>
          <w:sz w:val="21"/>
          <w:szCs w:val="21"/>
          <w:highlight w:val="none"/>
          <w:lang w:val="zh-CN"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）履约验收方式：分段验收。</w:t>
      </w:r>
      <w:r/>
    </w:p>
    <w:p>
      <w:pPr>
        <w:contextualSpacing/>
        <w:ind w:firstLine="420"/>
        <w:jc w:val="both"/>
        <w:keepLines w:val="0"/>
        <w:keepNext w:val="0"/>
        <w:pageBreakBefore w:val="0"/>
        <w:spacing w:line="360" w:lineRule="auto"/>
        <w:widowControl w:val="off"/>
        <w:rPr>
          <w:rFonts w:hint="eastAsia" w:ascii="宋体" w:hAnsi="宋体" w:eastAsia="宋体" w:cs="宋体"/>
          <w:b/>
          <w:bCs/>
          <w:color w:val="auto"/>
          <w:sz w:val="21"/>
          <w:szCs w:val="24"/>
          <w:highlight w:val="none"/>
          <w:lang w:val="en-US"/>
        </w:rPr>
      </w:pP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）履约验收内容和标准：</w:t>
      </w:r>
      <w:r>
        <w:rPr>
          <w:rFonts w:hint="eastAsia" w:ascii="宋体" w:hAnsi="宋体" w:eastAsia="宋体" w:cs="宋体"/>
          <w:color w:val="auto"/>
          <w:sz w:val="21"/>
          <w:szCs w:val="21"/>
          <w:highlight w:val="none"/>
          <w:lang w:val="en-US" w:eastAsia="zh-CN" w:bidi="ar-SA"/>
        </w:rPr>
        <w:t xml:space="preserve">按照采购文件要求及相关法律法规、行业标准进行验收。</w:t>
      </w:r>
      <w:r/>
    </w:p>
    <w:p>
      <w:pPr>
        <w:ind w:firstLine="422"/>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八、</w:t>
      </w:r>
      <w:r>
        <w:rPr>
          <w:rFonts w:hint="eastAsia" w:ascii="宋体" w:hAnsi="宋体" w:eastAsia="宋体" w:cs="宋体"/>
          <w:b/>
          <w:bCs/>
          <w:color w:val="auto"/>
          <w:sz w:val="21"/>
          <w:szCs w:val="24"/>
          <w:highlight w:val="none"/>
        </w:rPr>
        <w:t xml:space="preserve">考核细则及标准：</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1、考核办法</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考核办法见下表，车辆定点维修由中标单位全权负责，考核的主体单位为采购单位。采购单位月末对考核评分进行记录，所得分值作为拨付车辆维修费用的依据。考核的原则是公平、公正、公开，目的是经常性保持车辆的工作效率。</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2、考核标准及实施方法：</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月度总分值100分，扣完为止，不计负分。每月结束后由采购单位统计考核结果，考核分数≥95分按实际费用全额支付，考核分数＜95分按照在95分基础上每扣1分从月维修费中扣除1000元，</w:t>
      </w:r>
      <w:r>
        <w:rPr>
          <w:rFonts w:hint="eastAsia" w:ascii="宋体" w:hAnsi="宋体" w:eastAsia="宋体" w:cs="宋体"/>
          <w:color w:val="auto"/>
          <w:sz w:val="21"/>
          <w:szCs w:val="24"/>
          <w:highlight w:val="none"/>
          <w:lang w:val="en-US" w:eastAsia="zh-CN"/>
        </w:rPr>
        <w:t xml:space="preserve">以此类推，</w:t>
      </w:r>
      <w:r>
        <w:rPr>
          <w:rFonts w:hint="eastAsia" w:ascii="宋体" w:hAnsi="宋体" w:eastAsia="宋体" w:cs="宋体"/>
          <w:color w:val="auto"/>
          <w:sz w:val="21"/>
          <w:szCs w:val="24"/>
          <w:highlight w:val="none"/>
        </w:rPr>
        <w:t xml:space="preserve">扣完为止。</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3、确定中标单位并签订维修合同后，根据中标单位的优惠价格、服务承诺及维修质量在合同期内进行车辆维修，中标单位提供的服务累计三次考核分数低于70分，采购方有权终止合同。</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4、提供配件目录以外的配件，均不超出市场实际均价，采购单位将对结算清单进行抽查、考核，抽查发现提供配件远超市场实际均价，先行更正，</w:t>
      </w:r>
      <w:r>
        <w:rPr>
          <w:rFonts w:hint="eastAsia" w:ascii="Times New Roman" w:hAnsi="Times New Roman" w:eastAsia="宋体" w:cs="宋体"/>
          <w:color w:val="auto"/>
          <w:sz w:val="21"/>
          <w:szCs w:val="24"/>
          <w:highlight w:val="none"/>
        </w:rPr>
        <w:t xml:space="preserve">并扣除</w:t>
      </w:r>
      <w:r>
        <w:rPr>
          <w:rFonts w:hint="eastAsia" w:cs="宋体"/>
          <w:color w:val="auto"/>
          <w:sz w:val="21"/>
          <w:szCs w:val="24"/>
          <w:highlight w:val="none"/>
          <w:lang w:val="en-US" w:eastAsia="zh-CN"/>
        </w:rPr>
        <w:t xml:space="preserve">乙方当月结算金额的10%，</w:t>
      </w:r>
      <w:r>
        <w:rPr>
          <w:rFonts w:hint="eastAsia" w:ascii="宋体" w:hAnsi="宋体" w:eastAsia="宋体" w:cs="宋体"/>
          <w:color w:val="auto"/>
          <w:sz w:val="21"/>
          <w:szCs w:val="24"/>
          <w:highlight w:val="none"/>
        </w:rPr>
        <w:t xml:space="preserve">年度内累计3次及以上，采购方有权终止合同。</w:t>
      </w:r>
      <w:r/>
    </w:p>
    <w:p>
      <w:pPr>
        <w:ind w:firstLine="422"/>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b/>
          <w:color w:val="auto"/>
          <w:sz w:val="21"/>
          <w:szCs w:val="24"/>
          <w:highlight w:val="none"/>
        </w:rPr>
        <w:outlineLvl w:val="0"/>
      </w:pPr>
      <w:r>
        <w:rPr>
          <w:rFonts w:hint="eastAsia" w:ascii="宋体" w:hAnsi="宋体" w:eastAsia="宋体" w:cs="宋体"/>
          <w:b/>
          <w:color w:val="auto"/>
          <w:sz w:val="21"/>
          <w:szCs w:val="24"/>
          <w:highlight w:val="none"/>
        </w:rPr>
        <w:t xml:space="preserve">考核办法</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  车辆定点维修由中标单位全权负责，考核的主体单位为采购单位。采购单位月末对考核评分进行记录，所得分值作为拨付车辆维修费用的依据。考核的原则是公平、公正、公开，目的是经常性保持车辆的工作效率。</w:t>
      </w:r>
      <w:r/>
    </w:p>
    <w:tbl>
      <w:tblPr>
        <w:tblStyle w:val="958"/>
        <w:tblW w:w="91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100"/>
        <w:gridCol w:w="5530"/>
        <w:gridCol w:w="1140"/>
        <w:gridCol w:w="667"/>
      </w:tblGrid>
      <w:tr>
        <w:trPr>
          <w:jc w:val="center"/>
          <w:trHeight w:val="423"/>
        </w:trPr>
        <w:tc>
          <w:tcPr>
            <w:tcW w:w="75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序号</w:t>
            </w:r>
            <w:r/>
          </w:p>
        </w:tc>
        <w:tc>
          <w:tcPr>
            <w:tcW w:w="1100" w:type="dxa"/>
            <w:vAlign w:val="center"/>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考核项目</w:t>
            </w:r>
            <w:r/>
          </w:p>
        </w:tc>
        <w:tc>
          <w:tcPr>
            <w:tcW w:w="5530" w:type="dxa"/>
            <w:vAlign w:val="center"/>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内         容</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default" w:ascii="宋体" w:hAnsi="宋体" w:eastAsia="宋体" w:cs="宋体"/>
                <w:color w:val="auto"/>
                <w:sz w:val="21"/>
                <w:szCs w:val="21"/>
                <w:highlight w:val="none"/>
                <w:lang w:val="en-US" w:eastAsia="zh-CN"/>
              </w:rPr>
              <w:outlineLvl w:val="0"/>
            </w:pPr>
            <w:r>
              <w:rPr>
                <w:rFonts w:hint="eastAsia" w:ascii="宋体" w:hAnsi="宋体" w:eastAsia="宋体" w:cs="宋体"/>
                <w:color w:val="auto"/>
                <w:sz w:val="21"/>
                <w:szCs w:val="21"/>
                <w:highlight w:val="none"/>
                <w:lang w:val="en-US" w:eastAsia="zh-CN"/>
              </w:rPr>
              <w:t xml:space="preserve">考核扣分</w:t>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备注</w:t>
            </w:r>
            <w:r/>
          </w:p>
        </w:tc>
      </w:tr>
      <w:tr>
        <w:trPr>
          <w:jc w:val="center"/>
          <w:trHeight w:val="1554"/>
        </w:trPr>
        <w:tc>
          <w:tcPr>
            <w:tcW w:w="750" w:type="dxa"/>
            <w:vAlign w:val="center"/>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w:t>
            </w:r>
            <w:r/>
          </w:p>
        </w:tc>
        <w:tc>
          <w:tcPr>
            <w:tcW w:w="1100" w:type="dxa"/>
            <w:vAlign w:val="center"/>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维修流程情况</w:t>
            </w:r>
            <w:r/>
          </w:p>
        </w:tc>
        <w:tc>
          <w:tcPr>
            <w:tcW w:w="553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单位需按照采购单位维修规定流程，车辆维修前必须开具车辆定点维修单及提供维修报价单后由采购单位签字确认后方可进行维修，维修结束后按照车辆定点维修单上所注要求进行检验并签字确认。未按上述要求执行的一次扣1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782"/>
        </w:trPr>
        <w:tc>
          <w:tcPr>
            <w:tcW w:w="750" w:type="dxa"/>
            <w:vAlign w:val="center"/>
            <w:vMerge w:val="restart"/>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w:t>
            </w:r>
            <w:r/>
          </w:p>
        </w:tc>
        <w:tc>
          <w:tcPr>
            <w:tcW w:w="1100" w:type="dxa"/>
            <w:vAlign w:val="center"/>
            <w:vMerge w:val="restart"/>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维修时间要求情况</w:t>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维修服务商在接到用户故障通知后立即响应，一般故障在2小时内解决，复杂故障不超过24小时内解决（特殊情况除外），小修不超过48小时解决，大修不超过120小时解决。未按时解决的一次扣2分。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527"/>
        </w:trPr>
        <w:tc>
          <w:tcPr>
            <w:tcW w:w="750" w:type="dxa"/>
            <w:vAlign w:val="center"/>
            <w:vMerge w:val="continue"/>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1100" w:type="dxa"/>
            <w:vAlign w:val="center"/>
            <w:vMerge w:val="continue"/>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维修服务商应在采购单位车辆在外抛锚时，实行24小时免费应急救援服务。在接到救援请求后</w:t>
            </w:r>
            <w:r>
              <w:rPr>
                <w:rFonts w:hint="eastAsia" w:ascii="宋体" w:hAnsi="宋体" w:eastAsia="宋体" w:cs="宋体"/>
                <w:color w:val="auto"/>
                <w:sz w:val="21"/>
                <w:szCs w:val="21"/>
                <w:highlight w:val="none"/>
                <w:lang w:val="en-US" w:eastAsia="zh-CN"/>
              </w:rPr>
              <w:t xml:space="preserve">90</w:t>
            </w:r>
            <w:r>
              <w:rPr>
                <w:rFonts w:hint="eastAsia" w:ascii="宋体" w:hAnsi="宋体" w:eastAsia="宋体" w:cs="宋体"/>
                <w:color w:val="auto"/>
                <w:sz w:val="21"/>
                <w:szCs w:val="21"/>
                <w:highlight w:val="none"/>
              </w:rPr>
              <w:t xml:space="preserve">分钟内派人赶到救援现场；未按时解决的一次扣2分。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503"/>
        </w:trPr>
        <w:tc>
          <w:tcPr>
            <w:tcW w:w="750" w:type="dxa"/>
            <w:vAlign w:val="center"/>
            <w:vMerge w:val="restart"/>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w:t>
            </w:r>
            <w:r/>
          </w:p>
        </w:tc>
        <w:tc>
          <w:tcPr>
            <w:tcW w:w="1100" w:type="dxa"/>
            <w:vAlign w:val="center"/>
            <w:vMerge w:val="restart"/>
            <w:textDirection w:val="lrTb"/>
            <w:noWrap w:val="false"/>
          </w:tcPr>
          <w:p>
            <w:pPr>
              <w:jc w:val="center"/>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维修服务要求</w:t>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维修服务商在维修过程中单车出现同一故障反复维修现象的，重复一次扣1分。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555"/>
        </w:trPr>
        <w:tc>
          <w:tcPr>
            <w:tcW w:w="75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110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维修服务商需按规定保养车辆（包括各项基础保养）。未按要求保养的一次扣5分。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620"/>
        </w:trPr>
        <w:tc>
          <w:tcPr>
            <w:tcW w:w="75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110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维修服务期内，维修服务商应每月向采购单位书面报送维修报表。未报送一次扣2分。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389"/>
        </w:trPr>
        <w:tc>
          <w:tcPr>
            <w:tcW w:w="75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110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5530" w:type="dxa"/>
            <w:vAlign w:val="top"/>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维修服务商在维修过程中，出现应维修而未修理的情况。采购单位发现一次扣2分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854"/>
        </w:trPr>
        <w:tc>
          <w:tcPr>
            <w:tcW w:w="75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1100" w:type="dxa"/>
            <w:vAlign w:val="center"/>
            <w:vMerge w:val="continue"/>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5530" w:type="dxa"/>
            <w:vAlign w:val="bottom"/>
            <w:textDirection w:val="lrTb"/>
            <w:noWrap w:val="false"/>
          </w:tcPr>
          <w:p>
            <w:pPr>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维修服务期内应严格执行本服务项目廉政合同相关规定，如发现违规现象，每发现一次扣20分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r>
        <w:trPr>
          <w:jc w:val="center"/>
          <w:trHeight w:val="731"/>
        </w:trPr>
        <w:tc>
          <w:tcPr>
            <w:gridSpan w:val="3"/>
            <w:tcW w:w="738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汇总得分</w:t>
            </w:r>
            <w:r>
              <w:rPr>
                <w:rFonts w:hint="eastAsia" w:ascii="宋体" w:hAnsi="宋体" w:eastAsia="宋体" w:cs="宋体"/>
                <w:b/>
                <w:color w:val="auto"/>
                <w:sz w:val="21"/>
                <w:szCs w:val="21"/>
                <w:highlight w:val="none"/>
              </w:rPr>
              <w:t xml:space="preserve">（100分-考核扣分）</w:t>
            </w:r>
            <w:r/>
          </w:p>
        </w:tc>
        <w:tc>
          <w:tcPr>
            <w:tcW w:w="1140"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c>
          <w:tcPr>
            <w:tcW w:w="667" w:type="dxa"/>
            <w:vAlign w:val="center"/>
            <w:textDirection w:val="lrTb"/>
            <w:noWrap w:val="false"/>
          </w:tcPr>
          <w:p>
            <w:pPr>
              <w:jc w:val="both"/>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r>
            <w:r/>
          </w:p>
        </w:tc>
      </w:tr>
    </w:tbl>
    <w:p>
      <w:pPr>
        <w:contextualSpacing/>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九</w:t>
      </w:r>
      <w:r>
        <w:rPr>
          <w:rFonts w:hint="eastAsia" w:ascii="宋体" w:hAnsi="宋体" w:eastAsia="宋体" w:cs="宋体"/>
          <w:b/>
          <w:bCs/>
          <w:color w:val="auto"/>
          <w:sz w:val="21"/>
          <w:szCs w:val="21"/>
          <w:highlight w:val="none"/>
          <w:lang w:val="zh-CN" w:eastAsia="zh-CN"/>
        </w:rPr>
        <w:t xml:space="preserve">、综合说明：</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lang w:val="zh-CN" w:eastAsia="zh-CN" w:bidi="ar-SA"/>
        </w:rPr>
        <w:t xml:space="preserve">、投标供应商须保证所提供的投标文件真实有效，如因投标单位的投标文件不实而造成的后果由各投标单位自行承担。有虚假应标行为经查实的投标文件，评标小组有权予以其废标。</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lang w:val="zh-CN" w:eastAsia="zh-CN" w:bidi="ar-SA"/>
        </w:rPr>
        <w:t xml:space="preserve">、评标小组在审查时，可以要求供应商对投标文件某些报价明显不合理或者低于成本，有可能影响服务质量或不能诚信履约等内容作出必要的澄清、说明或者更正或者提供相关证明，若供应商无法澄清、说明或提供相关证明材料的，评标小组可认定其响应无效。</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lang w:val="zh-CN" w:eastAsia="zh-CN" w:bidi="ar-SA"/>
        </w:rPr>
        <w:t xml:space="preserve">、投标人应对所投项目的全部内容进行报价，只投其中部分内容者，其标书将被拒绝。</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zh-CN" w:eastAsia="zh-CN" w:bidi="ar-SA"/>
        </w:rPr>
        <w:t xml:space="preserve">、中标单位对服务缺陷不予更正，采购有权另请其他单位更正。</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lang w:val="zh-CN" w:eastAsia="zh-CN" w:bidi="ar-SA"/>
        </w:rPr>
        <w:t xml:space="preserve">、中标单位须按照本招标文件的要求对该招标项目进行工作。</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6</w:t>
      </w:r>
      <w:r>
        <w:rPr>
          <w:rFonts w:hint="eastAsia" w:ascii="宋体" w:hAnsi="宋体" w:eastAsia="宋体" w:cs="宋体"/>
          <w:bCs/>
          <w:color w:val="auto"/>
          <w:sz w:val="21"/>
          <w:szCs w:val="21"/>
          <w:highlight w:val="none"/>
          <w:lang w:val="zh-CN" w:eastAsia="zh-CN" w:bidi="ar-SA"/>
        </w:rPr>
        <w:t xml:space="preserve">、如遇采购范围内有大的调整情况，采购人将提前告知中标单位，合同内容经双方协商调整。</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7</w:t>
      </w:r>
      <w:r>
        <w:rPr>
          <w:rFonts w:hint="eastAsia" w:ascii="宋体" w:hAnsi="宋体" w:eastAsia="宋体" w:cs="宋体"/>
          <w:bCs/>
          <w:color w:val="auto"/>
          <w:sz w:val="21"/>
          <w:szCs w:val="21"/>
          <w:highlight w:val="none"/>
          <w:lang w:val="zh-CN" w:eastAsia="zh-CN" w:bidi="ar-SA"/>
        </w:rPr>
        <w:t xml:space="preserve">、中标人有责任配合招标人接受上级领导部门的监督、检查，提供必须的资料。</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8</w:t>
      </w:r>
      <w:r>
        <w:rPr>
          <w:rFonts w:hint="eastAsia" w:ascii="宋体" w:hAnsi="宋体" w:eastAsia="宋体" w:cs="宋体"/>
          <w:bCs/>
          <w:color w:val="auto"/>
          <w:sz w:val="21"/>
          <w:szCs w:val="21"/>
          <w:highlight w:val="none"/>
          <w:lang w:val="zh-CN" w:eastAsia="zh-CN" w:bidi="ar-SA"/>
        </w:rPr>
        <w:t xml:space="preserve">、中标人须严格按照国家和政府规定给所有的员工缴纳各种社会保险（包括养老、医疗、工伤、生育险、失业保险等）。负责其招聘员工的一切工资、午餐、福利；如发生工伤、疾病乃至死亡的一切责任及费用由中标人全部负责；应严格遵守国家有关的法律、法规及行业标准，否则招标人有权终止合同。</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en-US" w:eastAsia="zh-CN" w:bidi="ar-SA"/>
        </w:rPr>
        <w:t xml:space="preserve">9</w:t>
      </w:r>
      <w:r>
        <w:rPr>
          <w:rFonts w:hint="eastAsia" w:ascii="宋体" w:hAnsi="宋体" w:eastAsia="宋体" w:cs="宋体"/>
          <w:bCs/>
          <w:color w:val="auto"/>
          <w:sz w:val="21"/>
          <w:szCs w:val="21"/>
          <w:highlight w:val="none"/>
          <w:lang w:val="zh-CN" w:eastAsia="zh-CN" w:bidi="ar-SA"/>
        </w:rPr>
        <w:t xml:space="preserve">、招标人不接受投标人任何因遗漏报价而发生的费用追加，因投标人违反《劳动法》等法律法规而造成招标人的连带责任和损失全部由中标人承担。</w:t>
      </w:r>
      <w:r/>
    </w:p>
    <w:p>
      <w:pPr>
        <w:ind w:firstLine="420"/>
        <w:jc w:val="both"/>
        <w:keepLines w:val="0"/>
        <w:keepNext w:val="0"/>
        <w:pageBreakBefore w:val="0"/>
        <w:spacing w:line="360" w:lineRule="auto"/>
        <w:widowControl w:val="off"/>
        <w:rPr>
          <w:rStyle w:val="990"/>
          <w:rFonts w:hint="eastAsia" w:ascii="宋体" w:hAnsi="宋体" w:eastAsia="宋体" w:cs="宋体"/>
          <w:color w:val="auto"/>
          <w:sz w:val="32"/>
          <w:szCs w:val="32"/>
          <w:highlight w:val="none"/>
        </w:rPr>
      </w:pPr>
      <w:r>
        <w:rPr>
          <w:rFonts w:hint="eastAsia" w:ascii="宋体" w:hAnsi="宋体" w:eastAsia="宋体" w:cs="宋体"/>
          <w:bCs/>
          <w:color w:val="auto"/>
          <w:sz w:val="21"/>
          <w:szCs w:val="21"/>
          <w:highlight w:val="none"/>
          <w:lang w:val="en-US" w:eastAsia="zh-CN" w:bidi="ar-SA"/>
        </w:rPr>
        <w:t xml:space="preserve">10</w:t>
      </w:r>
      <w:r>
        <w:rPr>
          <w:rFonts w:hint="eastAsia" w:ascii="宋体" w:hAnsi="宋体" w:eastAsia="宋体" w:cs="宋体"/>
          <w:bCs/>
          <w:color w:val="auto"/>
          <w:sz w:val="21"/>
          <w:szCs w:val="21"/>
          <w:highlight w:val="none"/>
          <w:lang w:val="zh-CN" w:eastAsia="zh-CN" w:bidi="ar-SA"/>
        </w:rPr>
        <w:t xml:space="preserve">、凡涉及招标文件的补充说明和修改，均以江苏省政府采购网、苏州市政府采购网最后发布的内容为准。</w:t>
      </w:r>
      <w:bookmarkStart w:id="5" w:name="_Toc25002"/>
      <w:r/>
      <w:r/>
    </w:p>
    <w:p>
      <w:pPr>
        <w:jc w:val="center"/>
        <w:spacing w:line="400" w:lineRule="exact"/>
        <w:rPr>
          <w:rStyle w:val="990"/>
          <w:rFonts w:ascii="宋体" w:hAnsi="宋体" w:eastAsia="宋体" w:cs="宋体"/>
          <w:color w:val="auto"/>
          <w:sz w:val="32"/>
          <w:szCs w:val="32"/>
          <w:highlight w:val="none"/>
        </w:rPr>
      </w:pPr>
      <w:r>
        <w:rPr>
          <w:rStyle w:val="990"/>
          <w:rFonts w:hint="eastAsia" w:ascii="宋体" w:hAnsi="宋体" w:eastAsia="宋体" w:cs="宋体"/>
          <w:color w:val="auto"/>
          <w:sz w:val="32"/>
          <w:szCs w:val="32"/>
          <w:highlight w:val="none"/>
        </w:rPr>
        <w:t xml:space="preserve">第四章 投标文件格式</w:t>
      </w:r>
      <w:bookmarkEnd w:id="5"/>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rPr>
          <w:b/>
          <w:color w:val="auto"/>
          <w:sz w:val="44"/>
          <w:szCs w:val="44"/>
          <w:highlight w:val="none"/>
        </w:rPr>
      </w:pPr>
      <w:r>
        <w:rPr>
          <w:b/>
          <w:color w:val="auto"/>
          <w:sz w:val="44"/>
          <w:szCs w:val="44"/>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0" w:firstLine="1807"/>
        <w:keepLines w:val="0"/>
        <w:keepNext w:val="0"/>
        <w:pageBreakBefore w:val="0"/>
        <w:spacing w:line="360" w:lineRule="auto"/>
        <w:widowControl/>
        <w:rPr>
          <w:b/>
          <w:color w:val="auto"/>
          <w:sz w:val="36"/>
          <w:szCs w:val="36"/>
          <w:highlight w:val="none"/>
        </w:rPr>
      </w:pPr>
      <w:r>
        <w:rPr>
          <w:rFonts w:hint="eastAsia"/>
          <w:b/>
          <w:color w:val="auto"/>
          <w:sz w:val="36"/>
          <w:szCs w:val="36"/>
          <w:highlight w:val="none"/>
        </w:rPr>
        <w:t xml:space="preserve">招标单位： </w:t>
      </w:r>
      <w:r/>
    </w:p>
    <w:p>
      <w:pPr>
        <w:ind w:left="0" w:firstLine="1807"/>
        <w:keepLines w:val="0"/>
        <w:keepNext w:val="0"/>
        <w:pageBreakBefore w:val="0"/>
        <w:spacing w:line="360" w:lineRule="auto"/>
        <w:widowControl/>
        <w:rPr>
          <w:b/>
          <w:color w:val="auto"/>
          <w:sz w:val="36"/>
          <w:szCs w:val="36"/>
          <w:highlight w:val="none"/>
        </w:rPr>
      </w:pPr>
      <w:r>
        <w:rPr>
          <w:b/>
          <w:color w:val="auto"/>
          <w:sz w:val="36"/>
          <w:szCs w:val="36"/>
          <w:highlight w:val="none"/>
        </w:rPr>
        <w:t xml:space="preserve">项目名称：</w:t>
      </w:r>
      <w:r/>
    </w:p>
    <w:p>
      <w:pPr>
        <w:ind w:left="0" w:firstLine="1807"/>
        <w:keepLines w:val="0"/>
        <w:keepNext w:val="0"/>
        <w:pageBreakBefore w:val="0"/>
        <w:spacing w:line="360" w:lineRule="auto"/>
        <w:widowControl/>
        <w:rPr>
          <w:b/>
          <w:color w:val="auto"/>
          <w:sz w:val="36"/>
          <w:szCs w:val="36"/>
          <w:highlight w:val="none"/>
        </w:rPr>
      </w:pPr>
      <w:r>
        <w:rPr>
          <w:rFonts w:hint="eastAsia"/>
          <w:b/>
          <w:color w:val="auto"/>
          <w:sz w:val="36"/>
          <w:szCs w:val="36"/>
          <w:highlight w:val="none"/>
        </w:rPr>
        <w:t xml:space="preserve">项目编号： </w:t>
      </w:r>
      <w:r/>
    </w:p>
    <w:p>
      <w:pPr>
        <w:ind w:left="0" w:firstLine="720"/>
        <w:keepLines w:val="0"/>
        <w:keepNext w:val="0"/>
        <w:pageBreakBefore w:val="0"/>
        <w:spacing w:line="360" w:lineRule="auto"/>
        <w:widowControl/>
        <w:rPr>
          <w:rFonts w:hint="default" w:eastAsia="宋体"/>
          <w:color w:val="auto"/>
          <w:sz w:val="36"/>
          <w:szCs w:val="36"/>
          <w:highlight w:val="none"/>
          <w:lang w:val="en-US" w:eastAsia="zh-CN"/>
        </w:rPr>
      </w:pPr>
      <w:r>
        <w:rPr>
          <w:rFonts w:hint="eastAsia"/>
          <w:color w:val="auto"/>
          <w:sz w:val="36"/>
          <w:szCs w:val="36"/>
          <w:highlight w:val="none"/>
          <w:lang w:val="en-US" w:eastAsia="zh-CN"/>
        </w:rPr>
        <w:t xml:space="preserve">      </w:t>
      </w:r>
      <w:r/>
    </w:p>
    <w:p>
      <w:pPr>
        <w:ind w:firstLine="542"/>
        <w:rPr>
          <w:b/>
          <w:color w:val="auto"/>
          <w:sz w:val="36"/>
          <w:szCs w:val="36"/>
          <w:highlight w:val="none"/>
        </w:rPr>
      </w:pPr>
      <w:r>
        <w:rPr>
          <w:b/>
          <w:color w:val="auto"/>
          <w:sz w:val="36"/>
          <w:szCs w:val="36"/>
          <w:highlight w:val="none"/>
        </w:rPr>
      </w:r>
      <w:r/>
    </w:p>
    <w:p>
      <w:pPr>
        <w:ind w:firstLine="542"/>
        <w:rPr>
          <w:rFonts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p>
    <w:p>
      <w:pPr>
        <w:ind w:left="617"/>
        <w:spacing w:line="720" w:lineRule="auto"/>
        <w:rPr>
          <w:rFonts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b/>
          <w:color w:val="auto"/>
          <w:sz w:val="36"/>
          <w:szCs w:val="36"/>
          <w:highlight w:val="none"/>
        </w:rPr>
      </w:pPr>
      <w:r>
        <w:rPr>
          <w:b/>
          <w:color w:val="auto"/>
          <w:sz w:val="36"/>
          <w:szCs w:val="36"/>
          <w:highlight w:val="none"/>
        </w:rPr>
        <w:t xml:space="preserve">日期：</w:t>
      </w:r>
      <w:r>
        <w:rPr>
          <w:rFonts w:hint="eastAsia"/>
          <w:b/>
          <w:color w:val="auto"/>
          <w:sz w:val="36"/>
          <w:szCs w:val="36"/>
          <w:highlight w:val="none"/>
          <w:lang w:val="en-US" w:eastAsia="zh-CN"/>
        </w:rPr>
        <w:t xml:space="preserve">  </w:t>
      </w:r>
      <w:r>
        <w:rPr>
          <w:b/>
          <w:color w:val="auto"/>
          <w:sz w:val="36"/>
          <w:szCs w:val="36"/>
          <w:highlight w:val="none"/>
        </w:rPr>
        <w:t xml:space="preserve">年</w:t>
      </w:r>
      <w:r>
        <w:rPr>
          <w:rFonts w:hint="eastAsia"/>
          <w:b/>
          <w:color w:val="auto"/>
          <w:sz w:val="36"/>
          <w:szCs w:val="36"/>
          <w:highlight w:val="none"/>
          <w:lang w:val="en-US" w:eastAsia="zh-CN"/>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50"/>
        <w:numPr>
          <w:ilvl w:val="0"/>
          <w:numId w:val="0"/>
        </w:numPr>
        <w:ind w:left="400"/>
        <w:jc w:val="both"/>
        <w:spacing w:before="0" w:after="0" w:line="420" w:lineRule="exact"/>
        <w:rPr>
          <w:b w:val="0"/>
          <w:color w:val="auto"/>
          <w:sz w:val="44"/>
          <w:szCs w:val="44"/>
          <w:highlight w:val="none"/>
        </w:rPr>
      </w:pPr>
      <w:r>
        <w:rPr>
          <w:color w:val="auto"/>
          <w:sz w:val="36"/>
          <w:szCs w:val="36"/>
          <w:highlight w:val="none"/>
        </w:rPr>
        <w:br w:type="page" w:clear="all"/>
      </w:r>
      <w:r/>
    </w:p>
    <w:p>
      <w:pPr>
        <w:jc w:val="center"/>
        <w:spacing w:line="360" w:lineRule="auto"/>
        <w:widowControl w:val="off"/>
        <w:rPr>
          <w:rFonts w:ascii="宋体" w:hAnsi="宋体" w:cs="宋体"/>
          <w:b/>
          <w:bCs/>
          <w:color w:val="auto"/>
          <w:sz w:val="21"/>
          <w:szCs w:val="21"/>
          <w:highlight w:val="none"/>
          <w:lang w:val="zh-CN"/>
        </w:rPr>
      </w:pPr>
      <w:r>
        <w:rPr>
          <w:rFonts w:hint="eastAsia"/>
          <w:b/>
          <w:color w:val="auto"/>
          <w:sz w:val="44"/>
          <w:szCs w:val="44"/>
          <w:highlight w:val="none"/>
        </w:rPr>
        <w:t xml:space="preserve">报价部分</w:t>
      </w:r>
      <w:r/>
    </w:p>
    <w:p>
      <w:pPr>
        <w:ind w:firstLine="422"/>
        <w:jc w:val="both"/>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rPr>
        <w:t xml:space="preserve">系统内直接填写</w:t>
      </w:r>
      <w:r>
        <w:rPr>
          <w:rFonts w:hint="eastAsia" w:ascii="宋体" w:hAnsi="宋体" w:cs="宋体"/>
          <w:b/>
          <w:bCs/>
          <w:color w:val="auto"/>
          <w:sz w:val="21"/>
          <w:szCs w:val="21"/>
          <w:highlight w:val="none"/>
          <w:lang w:val="zh-CN"/>
        </w:rPr>
        <w:t xml:space="preserve">）</w:t>
      </w:r>
      <w:r/>
    </w:p>
    <w:p>
      <w:pPr>
        <w:pStyle w:val="1007"/>
        <w:jc w:val="center"/>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开标一览表</w:t>
      </w:r>
      <w:r/>
    </w:p>
    <w:p>
      <w:pPr>
        <w:jc w:val="center"/>
        <w:spacing w:line="300" w:lineRule="auto"/>
        <w:rPr>
          <w:rFonts w:ascii="宋体" w:hAnsi="宋体" w:cs="宋体"/>
          <w:color w:val="auto"/>
          <w:spacing w:val="20"/>
          <w:sz w:val="21"/>
          <w:szCs w:val="21"/>
          <w:highlight w:val="none"/>
        </w:rPr>
      </w:pPr>
      <w:r>
        <w:rPr>
          <w:rFonts w:ascii="宋体" w:hAnsi="宋体" w:cs="宋体"/>
          <w:color w:val="auto"/>
          <w:spacing w:val="20"/>
          <w:sz w:val="21"/>
          <w:szCs w:val="21"/>
          <w:highlight w:val="none"/>
        </w:rPr>
      </w:r>
      <w:r/>
    </w:p>
    <w:p>
      <w:pPr>
        <w:ind w:firstLine="420"/>
        <w:rPr>
          <w:rFonts w:ascii="宋体" w:hAnsi="宋体"/>
          <w:color w:val="auto"/>
          <w:sz w:val="21"/>
          <w:szCs w:val="21"/>
          <w:highlight w:val="none"/>
        </w:rPr>
      </w:pPr>
      <w:r>
        <w:rPr>
          <w:rFonts w:hint="eastAsia" w:ascii="宋体" w:hAnsi="宋体"/>
          <w:color w:val="auto"/>
          <w:sz w:val="21"/>
          <w:szCs w:val="21"/>
          <w:highlight w:val="none"/>
        </w:rPr>
        <w:t xml:space="preserve">项目编号：</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项目名称：          </w:t>
      </w:r>
      <w:r/>
    </w:p>
    <w:tbl>
      <w:tblPr>
        <w:tblStyle w:val="958"/>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tcPr>
          <w:p>
            <w:pPr>
              <w:jc w:val="center"/>
              <w:spacing w:line="360" w:lineRule="auto"/>
              <w:rPr>
                <w:rFonts w:hint="default" w:eastAsia="宋体" w:cs="宋体"/>
                <w:color w:val="auto"/>
                <w:sz w:val="21"/>
                <w:szCs w:val="21"/>
                <w:highlight w:val="none"/>
                <w:lang w:val="en-US" w:eastAsia="zh-CN"/>
              </w:rPr>
            </w:pPr>
            <w:r>
              <w:rPr>
                <w:rFonts w:hint="eastAsia" w:cs="宋体"/>
                <w:color w:val="auto"/>
                <w:sz w:val="21"/>
                <w:szCs w:val="21"/>
                <w:highlight w:val="none"/>
                <w:lang w:val="en-US" w:eastAsia="zh-CN"/>
              </w:rPr>
              <w:t xml:space="preserve">投标报价</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tcPr>
          <w:p>
            <w:pPr>
              <w:spacing w:line="360" w:lineRule="auto"/>
              <w:rPr>
                <w:rFonts w:cs="宋体"/>
                <w:color w:val="auto"/>
                <w:sz w:val="21"/>
                <w:szCs w:val="21"/>
                <w:highlight w:val="none"/>
              </w:rPr>
            </w:pPr>
            <w:r>
              <w:rPr>
                <w:rFonts w:cs="宋体"/>
                <w:color w:val="auto"/>
                <w:sz w:val="21"/>
                <w:szCs w:val="21"/>
                <w:highlight w:val="none"/>
              </w:rPr>
            </w:r>
            <w:r/>
          </w:p>
        </w:tc>
      </w:tr>
    </w:tbl>
    <w:p>
      <w:pPr>
        <w:ind w:firstLine="420"/>
        <w:jc w:val="left"/>
        <w:spacing w:line="360" w:lineRule="auto"/>
        <w:widowControl w:val="off"/>
        <w:rPr>
          <w:rFonts w:hint="eastAsia" w:ascii="宋体" w:hAnsi="宋体" w:eastAsia="宋体" w:cs="宋体"/>
          <w:color w:val="auto"/>
          <w:sz w:val="21"/>
          <w:szCs w:val="21"/>
          <w:highlight w:val="none"/>
          <w:lang w:val="zh-CN" w:eastAsia="zh-CN" w:bidi="ar-SA"/>
        </w:rPr>
      </w:pPr>
      <w:r>
        <w:rPr>
          <w:rFonts w:hint="eastAsia" w:ascii="宋体" w:hAnsi="宋体" w:cs="宋体"/>
          <w:color w:val="auto"/>
          <w:sz w:val="21"/>
          <w:szCs w:val="21"/>
          <w:highlight w:val="none"/>
        </w:rPr>
        <w:t xml:space="preserve">注：1</w:t>
      </w:r>
      <w:r>
        <w:rPr>
          <w:rFonts w:hint="eastAsia" w:ascii="宋体" w:hAnsi="宋体" w:cs="宋体"/>
          <w:color w:val="auto"/>
          <w:sz w:val="21"/>
          <w:szCs w:val="21"/>
          <w:highlight w:val="none"/>
          <w:lang w:val="zh-CN"/>
        </w:rPr>
        <w:t xml:space="preserve">、</w:t>
      </w:r>
      <w:r>
        <w:rPr>
          <w:rFonts w:hint="eastAsia" w:ascii="宋体" w:hAnsi="宋体" w:eastAsia="宋体" w:cs="宋体"/>
          <w:color w:val="auto"/>
          <w:sz w:val="21"/>
          <w:szCs w:val="21"/>
          <w:highlight w:val="none"/>
          <w:lang w:val="zh-CN" w:eastAsia="zh-CN" w:bidi="ar-SA"/>
        </w:rPr>
        <w:t xml:space="preserve">优惠率报价</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投标单位对所投项目的全部内容进行报价，</w:t>
      </w:r>
      <w:r>
        <w:rPr>
          <w:rFonts w:hint="eastAsia" w:ascii="宋体" w:hAnsi="宋体" w:cs="宋体"/>
          <w:color w:val="auto"/>
          <w:sz w:val="21"/>
          <w:szCs w:val="21"/>
          <w:highlight w:val="none"/>
          <w:lang w:eastAsia="zh-CN"/>
        </w:rPr>
        <w:t xml:space="preserve">投标单位所报价格应</w:t>
      </w:r>
      <w:r>
        <w:rPr>
          <w:rFonts w:hint="eastAsia" w:ascii="宋体" w:hAnsi="宋体" w:eastAsia="宋体" w:cs="宋体"/>
          <w:color w:val="auto"/>
          <w:sz w:val="21"/>
          <w:szCs w:val="21"/>
          <w:highlight w:val="none"/>
        </w:rPr>
        <w:t xml:space="preserve">包括完成该项工作所需的人工（包括工资、奖金、社保、正常节假日的加班费、人员餐费及完成标书合同规定服务内容发生的延时加班等费用）、</w:t>
      </w:r>
      <w:r>
        <w:rPr>
          <w:rFonts w:hint="eastAsia" w:ascii="宋体" w:hAnsi="宋体" w:eastAsia="宋体" w:cs="宋体"/>
          <w:color w:val="auto"/>
          <w:sz w:val="21"/>
          <w:szCs w:val="21"/>
          <w:highlight w:val="none"/>
          <w:lang w:val="zh-CN" w:eastAsia="zh-CN" w:bidi="ar-SA"/>
        </w:rPr>
        <w:t xml:space="preserve">配件费用、车辆费用、运行管理、设备维护、保险、利润、税金、政策性文件规定及合同包含的所有风险、责任等各项应有费用。除合同另行规定以外，采购单位不再支付任何其他费用。</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投标报价中必须适当考虑不在预期中的未知费用。</w:t>
      </w:r>
      <w:r/>
    </w:p>
    <w:p>
      <w:pPr>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投标</w:t>
      </w:r>
      <w:r>
        <w:rPr>
          <w:rFonts w:hint="eastAsia" w:ascii="宋体" w:hAnsi="宋体"/>
          <w:color w:val="auto"/>
          <w:sz w:val="21"/>
          <w:szCs w:val="21"/>
          <w:highlight w:val="none"/>
          <w:lang w:val="zh-CN"/>
        </w:rPr>
        <w:t xml:space="preserve">单位</w:t>
      </w:r>
      <w:r>
        <w:rPr>
          <w:rFonts w:ascii="宋体" w:hAnsi="宋体"/>
          <w:color w:val="auto"/>
          <w:sz w:val="21"/>
          <w:szCs w:val="21"/>
          <w:highlight w:val="none"/>
          <w:lang w:val="zh-CN"/>
        </w:rPr>
        <w:t xml:space="preserve">（公章）：</w:t>
      </w:r>
      <w:r/>
    </w:p>
    <w:p>
      <w:pPr>
        <w:ind w:firstLine="392"/>
        <w:spacing w:line="360" w:lineRule="auto"/>
        <w:rPr>
          <w:rFonts w:ascii="宋体" w:hAnsi="宋体"/>
          <w:color w:val="auto"/>
          <w:sz w:val="21"/>
          <w:szCs w:val="21"/>
          <w:highlight w:val="none"/>
        </w:rPr>
      </w:pPr>
      <w:r>
        <w:rPr>
          <w:rFonts w:ascii="宋体" w:hAnsi="宋体"/>
          <w:color w:val="auto"/>
          <w:sz w:val="21"/>
          <w:szCs w:val="21"/>
          <w:highlight w:val="none"/>
          <w:lang w:val="zh-CN"/>
        </w:rPr>
        <w:t xml:space="preserve">法定代表人或授权委托人：（签字或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w:t>
      </w:r>
      <w:r/>
    </w:p>
    <w:p>
      <w:pPr>
        <w:ind w:firstLine="392"/>
        <w:spacing w:line="360" w:lineRule="auto"/>
        <w:rPr>
          <w:rFonts w:ascii="宋体" w:hAnsi="宋体"/>
          <w:color w:val="auto"/>
          <w:sz w:val="21"/>
          <w:szCs w:val="21"/>
          <w:highlight w:val="none"/>
          <w:lang w:val="zh-CN"/>
        </w:rPr>
      </w:pPr>
      <w:r>
        <w:rPr>
          <w:rFonts w:ascii="宋体" w:hAnsi="宋体"/>
          <w:color w:val="auto"/>
          <w:sz w:val="21"/>
          <w:szCs w:val="21"/>
          <w:highlight w:val="none"/>
          <w:lang w:val="zh-CN"/>
        </w:rPr>
        <w:t xml:space="preserve">日期：年月日</w:t>
      </w:r>
      <w:r/>
    </w:p>
    <w:p>
      <w:pPr>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widowControl w:val="off"/>
        <w:rPr>
          <w:rFonts w:ascii="宋体" w:hAnsi="宋体" w:cs="宋体"/>
          <w:b/>
          <w:color w:val="auto"/>
          <w:sz w:val="21"/>
          <w:szCs w:val="21"/>
          <w:highlight w:val="none"/>
        </w:rPr>
      </w:pPr>
      <w:r>
        <w:rPr>
          <w:rFonts w:hint="eastAsia" w:ascii="宋体" w:hAnsi="宋体" w:cs="宋体"/>
          <w:b/>
          <w:color w:val="auto"/>
          <w:sz w:val="21"/>
          <w:szCs w:val="21"/>
          <w:highlight w:val="none"/>
        </w:rPr>
        <w:t xml:space="preserve">投标报价合理性说明（如有）</w:t>
      </w:r>
      <w:r/>
    </w:p>
    <w:p>
      <w:pPr>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auto"/>
          <w:sz w:val="21"/>
          <w:szCs w:val="21"/>
          <w:highlight w:val="none"/>
          <w:lang w:val="en-US" w:eastAsia="zh-CN" w:bidi="ar-SA"/>
        </w:rPr>
        <w:t xml:space="preserve">1、</w:t>
      </w: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政府采购评审中出现下列情形之一的，评审委员会应当启动异常低价投标（响应）审查程序：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1"/>
          <w:szCs w:val="21"/>
          <w:highlight w:val="none"/>
          <w:lang w:val="zh-CN"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SA"/>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b/>
          <w:color w:val="auto"/>
          <w:sz w:val="44"/>
          <w:szCs w:val="44"/>
          <w:highlight w:val="none"/>
        </w:rPr>
      </w:pPr>
      <w:r>
        <w:rPr>
          <w:rFonts w:hint="eastAsia" w:ascii="宋体" w:hAnsi="宋体" w:cs="宋体"/>
          <w:color w:val="auto"/>
          <w:sz w:val="21"/>
          <w:szCs w:val="21"/>
          <w:highlight w:val="none"/>
          <w:lang w:val="zh-CN"/>
        </w:rPr>
        <w:t xml:space="preserve">      年     月     日</w:t>
      </w:r>
      <w:r/>
    </w:p>
    <w:p>
      <w:pPr>
        <w:pStyle w:val="962"/>
        <w:jc w:val="both"/>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both"/>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r>
      <w:r/>
    </w:p>
    <w:p>
      <w:pPr>
        <w:pStyle w:val="962"/>
        <w:jc w:val="center"/>
        <w:rPr>
          <w:rFonts w:hint="eastAsia"/>
          <w:b/>
          <w:color w:val="auto"/>
          <w:sz w:val="44"/>
          <w:szCs w:val="44"/>
          <w:highlight w:val="none"/>
        </w:rPr>
      </w:pPr>
      <w:r>
        <w:rPr>
          <w:rFonts w:hint="eastAsia"/>
          <w:b/>
          <w:color w:val="auto"/>
          <w:sz w:val="44"/>
          <w:szCs w:val="44"/>
          <w:highlight w:val="none"/>
        </w:rPr>
        <w:t xml:space="preserve">资格性、符合性、商务、技术部分</w:t>
      </w:r>
      <w:r/>
    </w:p>
    <w:p>
      <w:pPr>
        <w:pStyle w:val="962"/>
        <w:jc w:val="center"/>
        <w:rPr>
          <w:rFonts w:hint="eastAsia"/>
          <w:b/>
          <w:color w:val="auto"/>
          <w:sz w:val="44"/>
          <w:szCs w:val="44"/>
          <w:highlight w:val="none"/>
        </w:rPr>
      </w:pPr>
      <w:r>
        <w:rPr>
          <w:rFonts w:hint="eastAsia"/>
          <w:b/>
          <w:color w:val="auto"/>
          <w:sz w:val="44"/>
          <w:szCs w:val="44"/>
          <w:highlight w:val="none"/>
        </w:rPr>
      </w:r>
      <w:r/>
    </w:p>
    <w:p>
      <w:pPr>
        <w:pStyle w:val="959"/>
        <w:numPr>
          <w:ilvl w:val="0"/>
          <w:numId w:val="4"/>
        </w:numP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59"/>
        <w:ind w:firstLine="0"/>
        <w:rPr>
          <w:rFonts w:ascii="宋体" w:hAnsi="宋体" w:eastAsia="宋体" w:cs="宋体"/>
          <w:b/>
          <w:color w:val="auto"/>
          <w:sz w:val="21"/>
          <w:szCs w:val="21"/>
          <w:highlight w:val="none"/>
        </w:rPr>
      </w:pPr>
      <w:r>
        <w:rPr>
          <w:rFonts w:ascii="宋体" w:hAnsi="宋体" w:eastAsia="宋体" w:cs="宋体"/>
          <w:b/>
          <w:color w:val="auto"/>
          <w:sz w:val="21"/>
          <w:szCs w:val="21"/>
          <w:highlight w:val="none"/>
        </w:rPr>
      </w:r>
      <w:r/>
    </w:p>
    <w:p>
      <w:pPr>
        <w:pStyle w:val="959"/>
        <w:ind w:firstLine="0"/>
        <w:rPr>
          <w:rFonts w:ascii="宋体" w:hAnsi="宋体" w:eastAsia="宋体" w:cs="宋体"/>
          <w:b/>
          <w:color w:val="auto"/>
          <w:highlight w:val="none"/>
        </w:rPr>
      </w:pPr>
      <w:r>
        <w:rPr>
          <w:rFonts w:ascii="宋体" w:hAnsi="宋体" w:eastAsia="宋体" w:cs="宋体"/>
          <w:b/>
          <w:color w:val="auto"/>
          <w:highlight w:val="none"/>
        </w:rPr>
      </w:r>
      <w:r/>
    </w:p>
    <w:p>
      <w:pPr>
        <w:pStyle w:val="959"/>
        <w:ind w:firstLine="0"/>
        <w:rPr>
          <w:rFonts w:ascii="宋体" w:hAnsi="宋体" w:eastAsia="宋体" w:cs="宋体"/>
          <w:color w:val="auto"/>
          <w:highlight w:val="none"/>
        </w:rPr>
      </w:pPr>
      <w:r>
        <w:rPr>
          <w:rFonts w:ascii="宋体" w:hAnsi="宋体" w:eastAsia="宋体" w:cs="宋体"/>
          <w:color w:val="auto"/>
          <w:highlight w:val="none"/>
        </w:rPr>
      </w:r>
      <w:r/>
    </w:p>
    <w:p>
      <w:pPr>
        <w:pStyle w:val="959"/>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59"/>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959"/>
        <w:jc w:val="center"/>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pStyle w:val="1007"/>
        <w:spacing w:line="40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u w:val="single"/>
        </w:rPr>
        <w:t xml:space="preserve">苏州泰至鑫项目管理有限公司</w:t>
      </w:r>
      <w:r>
        <w:rPr>
          <w:rFonts w:hint="eastAsia" w:hAnsi="宋体" w:eastAsia="宋体" w:cs="宋体"/>
          <w:b/>
          <w:bCs/>
          <w:color w:val="auto"/>
          <w:sz w:val="21"/>
          <w:szCs w:val="21"/>
          <w:highlight w:val="none"/>
        </w:rPr>
        <w:t xml:space="preserve">：</w:t>
      </w:r>
      <w:r/>
    </w:p>
    <w:p>
      <w:pPr>
        <w:pStyle w:val="959"/>
        <w:jc w:val="both"/>
        <w:spacing w:line="400" w:lineRule="exact"/>
        <w:rPr>
          <w:rFonts w:ascii="宋体" w:hAnsi="宋体" w:eastAsia="宋体" w:cs="宋体"/>
          <w:color w:val="auto"/>
          <w:sz w:val="21"/>
          <w:szCs w:val="21"/>
          <w:highlight w:val="none"/>
        </w:rPr>
      </w:pPr>
      <w:r>
        <w:rPr>
          <w:rFonts w:ascii="宋体" w:hAnsi="宋体" w:eastAsia="宋体" w:cs="宋体"/>
          <w:color w:val="auto"/>
          <w:sz w:val="21"/>
          <w:szCs w:val="21"/>
          <w:highlight w:val="none"/>
        </w:rPr>
      </w:r>
      <w:r/>
    </w:p>
    <w:p>
      <w:pPr>
        <w:ind w:firstLine="420"/>
        <w:spacing w:line="48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z w:val="21"/>
          <w:szCs w:val="21"/>
          <w:highlight w:val="none"/>
          <w:lang w:val="zh-CN"/>
        </w:rPr>
        <w:t xml:space="preserve">）愿就由贵公司组织实施的项目名称为编号为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firstLine="425"/>
        <w:spacing w:line="480" w:lineRule="auto"/>
        <w:rPr>
          <w:rFonts w:ascii="宋体" w:hAnsi="宋体" w:cs="宋体"/>
          <w:color w:val="auto"/>
          <w:sz w:val="21"/>
          <w:szCs w:val="21"/>
          <w:highlight w:val="none"/>
        </w:rPr>
      </w:pPr>
      <w:r>
        <w:rPr>
          <w:rFonts w:ascii="宋体" w:hAnsi="宋体" w:cs="宋体"/>
          <w:color w:val="auto"/>
          <w:sz w:val="21"/>
          <w:szCs w:val="21"/>
          <w:highlight w:val="none"/>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59"/>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投标单位营业执照或独立法人证书副本或三证合一营业执照扫描件；</w:t>
      </w:r>
      <w:r/>
    </w:p>
    <w:p>
      <w:pPr>
        <w:pStyle w:val="959"/>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959"/>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959"/>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959"/>
        <w:numPr>
          <w:ilvl w:val="0"/>
          <w:numId w:val="4"/>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1007"/>
        <w:jc w:val="center"/>
        <w:rPr>
          <w:rFonts w:hAnsi="宋体" w:eastAsia="宋体" w:cs="宋体"/>
          <w:b/>
          <w:bCs/>
          <w:color w:val="auto"/>
          <w:sz w:val="24"/>
          <w:szCs w:val="24"/>
          <w:highlight w:val="none"/>
        </w:rPr>
      </w:pPr>
      <w:r>
        <w:rPr>
          <w:rFonts w:hAnsi="宋体" w:eastAsia="宋体" w:cs="宋体"/>
          <w:b/>
          <w:bCs/>
          <w:color w:val="auto"/>
          <w:sz w:val="24"/>
          <w:szCs w:val="24"/>
          <w:highlight w:val="none"/>
        </w:rPr>
      </w:r>
      <w:r/>
    </w:p>
    <w:p>
      <w:pPr>
        <w:rPr>
          <w:b/>
          <w:bCs/>
          <w:color w:val="auto"/>
          <w:szCs w:val="21"/>
          <w:highlight w:val="none"/>
        </w:rPr>
      </w:pPr>
      <w:r>
        <w:rPr>
          <w:b/>
          <w:bCs/>
          <w:color w:val="auto"/>
          <w:szCs w:val="21"/>
          <w:highlight w:val="none"/>
        </w:rPr>
      </w:r>
      <w:r/>
    </w:p>
    <w:p>
      <w:pPr>
        <w:pStyle w:val="1007"/>
        <w:jc w:val="center"/>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我单位在参加政府采购活动前三年内，没有重大违法记录，特此声明。</w:t>
      </w:r>
      <w:r/>
    </w:p>
    <w:p>
      <w:pPr>
        <w:ind w:firstLine="420"/>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格式7：</w:t>
      </w:r>
      <w:r>
        <w:rPr>
          <w:rFonts w:hint="eastAsia" w:ascii="宋体" w:hAnsi="宋体" w:eastAsia="宋体" w:cs="宋体"/>
          <w:b/>
          <w:bCs/>
          <w:color w:val="auto"/>
          <w:sz w:val="21"/>
          <w:szCs w:val="21"/>
          <w:highlight w:val="none"/>
        </w:rPr>
        <w:t xml:space="preserve">法律、行政法规规定的其他条件</w:t>
      </w:r>
      <w:r/>
    </w:p>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en-US" w:eastAsia="zh-CN"/>
        </w:rPr>
        <w:t xml:space="preserve">格式8：</w:t>
      </w: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b/>
          <w:bCs/>
          <w:color w:val="auto"/>
          <w:sz w:val="21"/>
          <w:szCs w:val="21"/>
          <w:highlight w:val="none"/>
        </w:rPr>
      </w:pPr>
      <w:r>
        <w:rPr>
          <w:b/>
          <w:bCs/>
          <w:color w:val="auto"/>
          <w:sz w:val="21"/>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b/>
          <w:bCs/>
          <w:color w:val="auto"/>
          <w:szCs w:val="21"/>
          <w:highlight w:val="none"/>
        </w:rPr>
      </w:pPr>
      <w:r>
        <w:rPr>
          <w:b/>
          <w:bCs/>
          <w:color w:val="auto"/>
          <w:szCs w:val="21"/>
          <w:highlight w:val="none"/>
        </w:rPr>
      </w:r>
      <w:r/>
    </w:p>
    <w:p>
      <w:pPr>
        <w:ind w:firstLine="210"/>
        <w:jc w:val="center"/>
        <w:spacing w:line="360" w:lineRule="auto"/>
        <w:widowControl w:val="off"/>
        <w:rPr>
          <w:rFonts w:ascii="宋体" w:hAnsi="宋体" w:cs="宋体"/>
          <w:color w:val="auto"/>
          <w:sz w:val="21"/>
          <w:szCs w:val="21"/>
          <w:highlight w:val="none"/>
        </w:rPr>
      </w:pPr>
      <w:r>
        <w:rPr>
          <w:rFonts w:hint="eastAsia"/>
          <w:b/>
          <w:bCs/>
          <w:color w:val="auto"/>
          <w:sz w:val="21"/>
          <w:szCs w:val="21"/>
          <w:highlight w:val="none"/>
        </w:rPr>
        <w:t xml:space="preserve">注：必须按投标人资格要求提供相关资料并加盖公章，（投标人如为联合体，联合体各方均应提供相关资料）否则投标无效。</w:t>
      </w:r>
      <w:r/>
    </w:p>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格式9：</w:t>
      </w:r>
      <w:r>
        <w:rPr>
          <w:rFonts w:hint="eastAsia" w:ascii="宋体" w:hAnsi="宋体" w:eastAsia="宋体" w:cs="宋体"/>
          <w:b/>
          <w:bCs/>
          <w:color w:val="auto"/>
          <w:sz w:val="21"/>
          <w:szCs w:val="21"/>
          <w:highlight w:val="none"/>
        </w:rPr>
        <w:t xml:space="preserve">投标人基本情况表</w:t>
      </w:r>
      <w:r/>
    </w:p>
    <w:p>
      <w:pPr>
        <w:pStyle w:val="959"/>
        <w:ind w:firstLine="0"/>
        <w:jc w:val="center"/>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投标人名称（公章）：</w:t>
      </w:r>
      <w:r/>
    </w:p>
    <w:tbl>
      <w:tblPr>
        <w:tblStyle w:val="958"/>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224"/>
      </w:tblGrid>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ind w:firstLine="216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224"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28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tcPr>
          <w:p>
            <w:pPr>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596" w:type="dxa"/>
            <w:vAlign w:val="center"/>
            <w:textDirection w:val="lrTb"/>
            <w:noWrap/>
          </w:tcPr>
          <w:p>
            <w:pPr>
              <w:jc w:val="both"/>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格式10：</w:t>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ascii="宋体" w:hAnsi="宋体" w:cs="宋体"/>
          <w:b/>
          <w:color w:val="auto"/>
          <w:sz w:val="21"/>
          <w:szCs w:val="21"/>
          <w:highlight w:val="none"/>
          <w:lang w:val="zh-CN"/>
        </w:rPr>
        <w:outlineLvl w:val="0"/>
      </w:pPr>
      <w:r>
        <w:rPr>
          <w:rFonts w:ascii="宋体" w:hAnsi="宋体" w:cs="宋体"/>
          <w:b/>
          <w:color w:val="auto"/>
          <w:sz w:val="21"/>
          <w:szCs w:val="21"/>
          <w:highlight w:val="none"/>
          <w:lang w:val="zh-CN"/>
        </w:rPr>
      </w:r>
      <w:r/>
    </w:p>
    <w:p>
      <w:pPr>
        <w:jc w:val="center"/>
        <w:spacing w:line="360" w:lineRule="auto"/>
        <w:rPr>
          <w:rFonts w:ascii="宋体" w:hAnsi="宋体" w:cs="宋体"/>
          <w:b/>
          <w:color w:val="auto"/>
          <w:sz w:val="21"/>
          <w:szCs w:val="21"/>
          <w:highlight w:val="none"/>
          <w:lang w:val="zh-CN"/>
        </w:rPr>
      </w:pPr>
      <w:r/>
      <w:bookmarkStart w:id="6" w:name="_Toc14425"/>
      <w:r/>
      <w:bookmarkStart w:id="7" w:name="_Toc17310"/>
      <w:r/>
      <w:bookmarkStart w:id="8" w:name="_Toc29896"/>
      <w:r/>
      <w:bookmarkStart w:id="9" w:name="_Toc9742"/>
      <w:r/>
      <w:bookmarkStart w:id="10" w:name="_Toc18702"/>
      <w:r/>
      <w:bookmarkStart w:id="11" w:name="_Toc24626"/>
      <w:r/>
      <w:bookmarkStart w:id="12" w:name="_Toc20811"/>
      <w:r/>
      <w:bookmarkStart w:id="13" w:name="_Toc5717"/>
      <w:r>
        <w:rPr>
          <w:rFonts w:hint="eastAsia" w:ascii="宋体" w:hAnsi="宋体" w:cs="宋体"/>
          <w:b/>
          <w:color w:val="auto"/>
          <w:sz w:val="21"/>
          <w:szCs w:val="21"/>
          <w:highlight w:val="none"/>
          <w:lang w:val="zh-CN"/>
        </w:rPr>
        <w:t xml:space="preserve">法人授权委托书</w:t>
      </w:r>
      <w:bookmarkEnd w:id="6"/>
      <w:r/>
      <w:bookmarkEnd w:id="7"/>
      <w:r/>
      <w:bookmarkEnd w:id="8"/>
      <w:r/>
      <w:bookmarkEnd w:id="9"/>
      <w:r/>
      <w:bookmarkEnd w:id="10"/>
      <w:r/>
      <w:bookmarkEnd w:id="11"/>
      <w:r/>
      <w:bookmarkEnd w:id="12"/>
      <w:r/>
      <w:bookmarkEnd w:id="13"/>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（姓名）系（投标人名称）的法定代表人，现授权委托（姓名）为我公司代理人，以本公司的名义参加苏州泰至鑫项目管理有限公司组织实施的</w:t>
      </w:r>
      <w:r>
        <w:rPr>
          <w:rFonts w:hint="eastAsia" w:ascii="宋体" w:hAnsi="宋体" w:cs="宋体"/>
          <w:color w:val="auto"/>
          <w:sz w:val="21"/>
          <w:szCs w:val="21"/>
          <w:highlight w:val="none"/>
        </w:rPr>
        <w:t xml:space="preserve">项目名称为编号为号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firstLine="425"/>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ascii="宋体" w:hAnsi="宋体" w:cs="宋体"/>
          <w:b/>
          <w:color w:val="auto"/>
          <w:sz w:val="21"/>
          <w:szCs w:val="21"/>
          <w:highlight w:val="none"/>
        </w:rPr>
      </w:pPr>
      <w:r/>
      <w:bookmarkStart w:id="14" w:name="_Toc11973"/>
      <w:r/>
      <w:bookmarkStart w:id="15" w:name="_Toc11337"/>
      <w:r/>
      <w:bookmarkStart w:id="16" w:name="_Toc6794"/>
      <w:r/>
      <w:bookmarkStart w:id="17" w:name="_Toc25055"/>
      <w:r/>
      <w:bookmarkStart w:id="18" w:name="_Toc25556"/>
      <w:r/>
      <w:bookmarkStart w:id="19" w:name="_Toc7351"/>
      <w:r/>
      <w:bookmarkStart w:id="20" w:name="_Toc30046"/>
      <w:r/>
      <w:bookmarkStart w:id="21" w:name="_Toc4786"/>
      <w:r/>
      <w:bookmarkStart w:id="22" w:name="_Toc18588"/>
      <w:r>
        <w:rPr>
          <w:rFonts w:hint="eastAsia" w:ascii="宋体" w:hAnsi="宋体" w:cs="宋体"/>
          <w:b/>
          <w:color w:val="auto"/>
          <w:sz w:val="21"/>
          <w:szCs w:val="21"/>
          <w:highlight w:val="none"/>
        </w:rPr>
        <w:t xml:space="preserve">附：法定代表人身份扫描件件。</w:t>
      </w:r>
      <w:bookmarkEnd w:id="14"/>
      <w:r/>
      <w:bookmarkEnd w:id="15"/>
      <w:r/>
      <w:bookmarkEnd w:id="16"/>
      <w:r/>
      <w:bookmarkEnd w:id="17"/>
      <w:r/>
      <w:bookmarkEnd w:id="18"/>
      <w:r/>
      <w:bookmarkEnd w:id="19"/>
      <w:r/>
      <w:bookmarkEnd w:id="20"/>
      <w:r/>
      <w:bookmarkEnd w:id="21"/>
      <w:r/>
      <w:bookmarkEnd w:id="22"/>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4"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3" o:spid="_x0000_s3"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ascii="宋体" w:hAnsi="宋体"/>
                          <w:bCs/>
                          <w:sz w:val="21"/>
                          <w:szCs w:val="21"/>
                        </w:rPr>
                        <w:t xml:space="preserve">法定代表人</w:t>
                      </w:r>
                      <w:r>
                        <w:rPr>
                          <w:rFonts w:hint="eastAsia" w:hAnsi="宋体"/>
                          <w:sz w:val="21"/>
                          <w:szCs w:val="21"/>
                        </w:rPr>
                        <w:t xml:space="preserve">身份证扫描件</w:t>
                      </w:r>
                      <w:r/>
                    </w:p>
                    <w:p>
                      <w:pPr>
                        <w:jc w:val="center"/>
                        <w:rPr>
                          <w:sz w:val="21"/>
                          <w:szCs w:val="21"/>
                        </w:rPr>
                      </w:pPr>
                      <w:r>
                        <w:rPr>
                          <w:rFonts w:hint="eastAsia" w:hAnsi="宋体"/>
                          <w:sz w:val="21"/>
                          <w:szCs w:val="21"/>
                        </w:rPr>
                        <w:t xml:space="preserve">（正反面）</w:t>
                      </w:r>
                      <w:r/>
                    </w:p>
                  </w:txbxContent>
                </v:textbox>
              </v:shape>
            </w:pict>
          </mc:Fallback>
        </mc:AlternateContent>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pStyle w:val="959"/>
        <w:ind w:firstLine="0"/>
        <w:spacing w:line="360" w:lineRule="auto"/>
        <w:rPr>
          <w:rFonts w:ascii="宋体" w:hAnsi="宋体" w:eastAsia="宋体" w:cs="宋体"/>
          <w:b/>
          <w:color w:val="auto"/>
          <w:sz w:val="21"/>
          <w:szCs w:val="21"/>
          <w:highlight w:val="none"/>
        </w:rPr>
        <w:outlineLvl w:val="0"/>
      </w:pPr>
      <w:r>
        <w:rPr>
          <w:rFonts w:ascii="宋体" w:hAnsi="宋体" w:eastAsia="宋体" w:cs="宋体"/>
          <w:b/>
          <w:color w:val="auto"/>
          <w:sz w:val="21"/>
          <w:szCs w:val="21"/>
          <w:highlight w:val="none"/>
        </w:rPr>
      </w:r>
      <w:r/>
    </w:p>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5"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4" o:spid="_x0000_s4" style="position:absolute;z-index:251659264;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Ansi="宋体"/>
                          <w:sz w:val="21"/>
                          <w:szCs w:val="21"/>
                        </w:rPr>
                      </w:pPr>
                      <w:r>
                        <w:rPr>
                          <w:rFonts w:hint="eastAsia" w:hAnsi="宋体"/>
                          <w:sz w:val="21"/>
                          <w:szCs w:val="21"/>
                        </w:rPr>
                        <w:t xml:space="preserve">代理人身份证扫描件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附：代理人身份扫描件件</w:t>
      </w:r>
      <w:r/>
    </w:p>
    <w:p>
      <w:pPr>
        <w:pStyle w:val="950"/>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pStyle w:val="950"/>
        <w:numPr>
          <w:ilvl w:val="0"/>
          <w:numId w:val="0"/>
        </w:numPr>
        <w:ind w:left="400"/>
        <w:spacing w:before="0" w:after="0" w:line="360" w:lineRule="auto"/>
        <w:rPr>
          <w:rFonts w:ascii="宋体" w:hAnsi="宋体" w:cs="宋体"/>
          <w:bCs w:val="0"/>
          <w:color w:val="auto"/>
          <w:sz w:val="21"/>
          <w:szCs w:val="21"/>
          <w:highlight w:val="none"/>
          <w:lang w:val="zh-CN"/>
        </w:rPr>
      </w:pPr>
      <w:r>
        <w:rPr>
          <w:rFonts w:ascii="宋体" w:hAnsi="宋体" w:cs="宋体"/>
          <w:bCs w:val="0"/>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360" w:lineRule="auto"/>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jc w:val="both"/>
        <w:spacing w:line="400" w:lineRule="exact"/>
        <w:widowControl w:val="off"/>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en-US" w:eastAsia="zh-CN"/>
        </w:rPr>
        <w:t xml:space="preserve">格式11：</w:t>
      </w:r>
      <w:r>
        <w:rPr>
          <w:rFonts w:hint="eastAsia" w:ascii="宋体" w:hAnsi="宋体" w:eastAsia="宋体" w:cs="宋体"/>
          <w:b/>
          <w:bCs/>
          <w:color w:val="auto"/>
          <w:sz w:val="21"/>
          <w:szCs w:val="21"/>
          <w:highlight w:val="none"/>
        </w:rPr>
        <w:t xml:space="preserve">中小企业声明函</w:t>
      </w:r>
      <w:r/>
    </w:p>
    <w:p>
      <w:pPr>
        <w:jc w:val="center"/>
        <w:spacing w:line="400" w:lineRule="exact"/>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中小企业声明函</w:t>
      </w:r>
      <w:r/>
    </w:p>
    <w:p>
      <w:pPr>
        <w:pStyle w:val="1015"/>
        <w:spacing w:line="400" w:lineRule="exact"/>
        <w:rPr>
          <w:rFonts w:hAnsi="宋体" w:eastAsia="宋体" w:cs="宋体"/>
          <w:color w:val="auto"/>
          <w:sz w:val="21"/>
          <w:szCs w:val="21"/>
          <w:highlight w:val="none"/>
        </w:rPr>
      </w:pPr>
      <w:r>
        <w:rPr>
          <w:rFonts w:hAnsi="宋体" w:eastAsia="宋体" w:cs="宋体"/>
          <w:color w:val="auto"/>
          <w:sz w:val="21"/>
          <w:szCs w:val="21"/>
          <w:highlight w:val="none"/>
        </w:rPr>
      </w:r>
      <w:r/>
    </w:p>
    <w:p>
      <w:pPr>
        <w:pStyle w:val="962"/>
        <w:ind w:right="355" w:firstLine="640"/>
        <w:jc w:val="both"/>
        <w:spacing w:line="360" w:lineRule="auto"/>
        <w:widowControl w:val="off"/>
        <w:rPr>
          <w:rFonts w:ascii="宋体" w:hAnsi="宋体" w:cs="宋体"/>
          <w:color w:val="auto"/>
          <w:sz w:val="21"/>
          <w:szCs w:val="21"/>
          <w:highlight w:val="none"/>
        </w:rPr>
      </w:pPr>
      <w:r>
        <w:rPr>
          <w:rFonts w:hint="eastAsia" w:ascii="宋体" w:hAnsi="宋体" w:cs="宋体"/>
          <w:color w:val="auto"/>
          <w:spacing w:val="-2"/>
          <w:sz w:val="21"/>
          <w:szCs w:val="21"/>
          <w:highlight w:val="none"/>
        </w:rPr>
        <w:t xml:space="preserve">本公司</w:t>
      </w:r>
      <w:r>
        <w:rPr>
          <w:rFonts w:hint="eastAsia" w:ascii="宋体" w:hAnsi="宋体" w:cs="宋体"/>
          <w:color w:val="auto"/>
          <w:sz w:val="21"/>
          <w:szCs w:val="21"/>
          <w:highlight w:val="none"/>
        </w:rPr>
        <w:t xml:space="preserve">（联合体）</w:t>
      </w:r>
      <w:r>
        <w:rPr>
          <w:rFonts w:hint="eastAsia" w:ascii="宋体" w:hAnsi="宋体" w:cs="宋体"/>
          <w:color w:val="auto"/>
          <w:spacing w:val="-2"/>
          <w:sz w:val="21"/>
          <w:szCs w:val="21"/>
          <w:highlight w:val="none"/>
        </w:rPr>
        <w:t xml:space="preserve">郑重声明，根据《政府采购促进中小</w:t>
      </w:r>
      <w:r>
        <w:rPr>
          <w:rFonts w:hint="eastAsia" w:ascii="宋体" w:hAnsi="宋体" w:cs="宋体"/>
          <w:color w:val="auto"/>
          <w:spacing w:val="-18"/>
          <w:sz w:val="21"/>
          <w:szCs w:val="21"/>
          <w:highlight w:val="none"/>
        </w:rPr>
        <w:t xml:space="preserve">企业发展管理办法》</w:t>
      </w:r>
      <w:r>
        <w:rPr>
          <w:rFonts w:hint="eastAsia" w:ascii="宋体" w:hAnsi="宋体" w:cs="宋体"/>
          <w:color w:val="auto"/>
          <w:sz w:val="21"/>
          <w:szCs w:val="21"/>
          <w:highlight w:val="none"/>
        </w:rPr>
        <w:t xml:space="preserve">（</w:t>
      </w:r>
      <w:r>
        <w:rPr>
          <w:rFonts w:hint="eastAsia" w:ascii="宋体" w:hAnsi="宋体" w:cs="宋体"/>
          <w:color w:val="auto"/>
          <w:spacing w:val="5"/>
          <w:sz w:val="21"/>
          <w:szCs w:val="21"/>
          <w:highlight w:val="none"/>
        </w:rPr>
        <w:t xml:space="preserve">财库</w:t>
      </w:r>
      <w:r>
        <w:rPr>
          <w:rFonts w:hint="eastAsia" w:ascii="宋体" w:hAnsi="宋体" w:cs="宋体"/>
          <w:color w:val="auto"/>
          <w:sz w:val="21"/>
          <w:szCs w:val="21"/>
          <w:highlight w:val="none"/>
        </w:rPr>
        <w:t xml:space="preserve">﹝2020﹞46</w:t>
      </w:r>
      <w:r>
        <w:rPr>
          <w:rFonts w:hint="eastAsia" w:ascii="宋体" w:hAnsi="宋体" w:cs="宋体"/>
          <w:color w:val="auto"/>
          <w:spacing w:val="-38"/>
          <w:sz w:val="21"/>
          <w:szCs w:val="21"/>
          <w:highlight w:val="none"/>
        </w:rPr>
        <w:t xml:space="preserve"> 号</w:t>
      </w:r>
      <w:r>
        <w:rPr>
          <w:rFonts w:hint="eastAsia" w:ascii="宋体" w:hAnsi="宋体" w:cs="宋体"/>
          <w:color w:val="auto"/>
          <w:spacing w:val="5"/>
          <w:sz w:val="21"/>
          <w:szCs w:val="21"/>
          <w:highlight w:val="none"/>
        </w:rPr>
        <w:t xml:space="preserve">）</w:t>
      </w:r>
      <w:r>
        <w:rPr>
          <w:rFonts w:hint="eastAsia" w:ascii="宋体" w:hAnsi="宋体" w:cs="宋体"/>
          <w:color w:val="auto"/>
          <w:sz w:val="21"/>
          <w:szCs w:val="21"/>
          <w:highlight w:val="none"/>
        </w:rPr>
        <w:t xml:space="preserve">的规定，本公司（联合体）</w:t>
      </w:r>
      <w:r>
        <w:rPr>
          <w:rFonts w:hint="eastAsia" w:ascii="宋体" w:hAnsi="宋体" w:cs="宋体"/>
          <w:color w:val="auto"/>
          <w:spacing w:val="-8"/>
          <w:sz w:val="21"/>
          <w:szCs w:val="21"/>
          <w:highlight w:val="none"/>
        </w:rPr>
        <w:t xml:space="preserve">参加</w:t>
      </w:r>
      <w:r>
        <w:rPr>
          <w:rFonts w:hint="eastAsia" w:ascii="宋体" w:hAnsi="宋体" w:cs="宋体"/>
          <w:color w:val="auto"/>
          <w:spacing w:val="-8"/>
          <w:sz w:val="21"/>
          <w:szCs w:val="21"/>
          <w:highlight w:val="none"/>
          <w:u w:val="single"/>
        </w:rPr>
        <w:t xml:space="preserve">招标单位</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w:t>
      </w:r>
      <w:r>
        <w:rPr>
          <w:rFonts w:hint="eastAsia" w:ascii="宋体" w:hAnsi="宋体" w:cs="宋体"/>
          <w:color w:val="auto"/>
          <w:spacing w:val="-1"/>
          <w:sz w:val="21"/>
          <w:szCs w:val="21"/>
          <w:highlight w:val="none"/>
        </w:rPr>
        <w:t xml:space="preserve">购活动，</w:t>
      </w:r>
      <w:r>
        <w:rPr>
          <w:rFonts w:hint="eastAsia" w:ascii="宋体" w:hAnsi="宋体" w:cs="宋体"/>
          <w:color w:val="auto"/>
          <w:spacing w:val="-2"/>
          <w:sz w:val="21"/>
          <w:szCs w:val="21"/>
          <w:highlight w:val="none"/>
        </w:rPr>
        <w:t xml:space="preserve">服务全部由符合政策要求的中小企业承接。相关企业（含联合体中的中小企业、签订分包意向协议的中小企业）</w:t>
      </w:r>
      <w:r>
        <w:rPr>
          <w:rFonts w:hint="eastAsia" w:ascii="宋体" w:hAnsi="宋体" w:cs="宋体"/>
          <w:color w:val="auto"/>
          <w:sz w:val="21"/>
          <w:szCs w:val="21"/>
          <w:highlight w:val="none"/>
        </w:rPr>
        <w:t xml:space="preserve">的具体情况如下：</w:t>
      </w:r>
      <w:r/>
    </w:p>
    <w:p>
      <w:pPr>
        <w:pStyle w:val="1044"/>
        <w:numPr>
          <w:ilvl w:val="0"/>
          <w:numId w:val="5"/>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1044"/>
        <w:numPr>
          <w:ilvl w:val="0"/>
          <w:numId w:val="5"/>
        </w:numPr>
        <w:ind w:firstLine="420"/>
        <w:spacing w:line="360" w:lineRule="auto"/>
        <w:tabs>
          <w:tab w:val="left" w:pos="1243" w:leader="none"/>
        </w:tabs>
        <w:rPr>
          <w:rFonts w:ascii="宋体" w:hAnsi="宋体" w:cs="宋体"/>
          <w:color w:val="auto"/>
          <w:szCs w:val="21"/>
          <w:highlight w:val="none"/>
          <w:u w:val="single"/>
          <w:lang w:val="zh-CN" w:bidi="zh-CN"/>
        </w:rPr>
      </w:pPr>
      <w:r>
        <w:rPr>
          <w:rFonts w:hint="eastAsia" w:ascii="宋体" w:hAnsi="宋体" w:cs="宋体"/>
          <w:color w:val="auto"/>
          <w:szCs w:val="21"/>
          <w:highlight w:val="none"/>
          <w:u w:val="single"/>
        </w:rPr>
        <w:t xml:space="preserve">标的名称</w:t>
      </w:r>
      <w:r>
        <w:rPr>
          <w:rFonts w:hint="eastAsia" w:ascii="宋体" w:hAnsi="宋体" w:cs="宋体"/>
          <w:color w:val="auto"/>
          <w:spacing w:val="-2"/>
          <w:szCs w:val="21"/>
          <w:highlight w:val="none"/>
          <w:lang w:val="zh-CN" w:bidi="zh-CN"/>
        </w:rPr>
        <w:t xml:space="preserve">属于</w:t>
      </w:r>
      <w:r>
        <w:rPr>
          <w:rFonts w:hint="eastAsia" w:ascii="宋体" w:hAnsi="宋体" w:cs="宋体"/>
          <w:color w:val="auto"/>
          <w:szCs w:val="21"/>
          <w:highlight w:val="none"/>
          <w:u w:val="single"/>
          <w:lang w:val="zh-CN" w:bidi="zh-CN"/>
        </w:rPr>
        <w:t xml:space="preserve">（采购文件中明确的所属行业）</w:t>
      </w:r>
      <w:r>
        <w:rPr>
          <w:rFonts w:hint="eastAsia" w:ascii="宋体" w:hAnsi="宋体" w:cs="宋体"/>
          <w:color w:val="auto"/>
          <w:szCs w:val="21"/>
          <w:highlight w:val="none"/>
          <w:lang w:val="zh-CN" w:bidi="zh-CN"/>
        </w:rPr>
        <w:t xml:space="preserve">；</w:t>
      </w:r>
      <w:r>
        <w:rPr>
          <w:rFonts w:hint="eastAsia" w:ascii="宋体" w:hAnsi="宋体" w:cs="宋体"/>
          <w:color w:val="auto"/>
          <w:spacing w:val="-2"/>
          <w:szCs w:val="21"/>
          <w:highlight w:val="none"/>
          <w:lang w:val="zh-CN" w:bidi="zh-CN"/>
        </w:rPr>
        <w:t xml:space="preserve">承接企业为</w:t>
      </w:r>
      <w:r>
        <w:rPr>
          <w:rFonts w:hint="eastAsia" w:ascii="宋体" w:hAnsi="宋体" w:cs="宋体"/>
          <w:color w:val="auto"/>
          <w:szCs w:val="21"/>
          <w:highlight w:val="none"/>
          <w:u w:val="single"/>
          <w:lang w:val="zh-CN" w:bidi="zh-CN"/>
        </w:rPr>
        <w:t xml:space="preserve">（企业名称）</w:t>
      </w:r>
      <w:r>
        <w:rPr>
          <w:rFonts w:hint="eastAsia" w:ascii="宋体" w:hAnsi="宋体" w:cs="宋体"/>
          <w:color w:val="auto"/>
          <w:spacing w:val="-2"/>
          <w:szCs w:val="21"/>
          <w:highlight w:val="none"/>
          <w:lang w:val="zh-CN" w:bidi="zh-CN"/>
        </w:rPr>
        <w:t xml:space="preserve">，从业人员</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人，营业收入为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万元，资产总额为</w:t>
      </w:r>
      <w:r>
        <w:rPr>
          <w:rFonts w:hint="eastAsia" w:ascii="宋体" w:hAnsi="宋体" w:cs="宋体"/>
          <w:color w:val="auto"/>
          <w:szCs w:val="21"/>
          <w:highlight w:val="none"/>
          <w:u w:val="single"/>
        </w:rPr>
        <w:tab/>
      </w:r>
      <w:r>
        <w:rPr>
          <w:rFonts w:hint="eastAsia" w:ascii="宋体" w:hAnsi="宋体" w:cs="宋体"/>
          <w:color w:val="auto"/>
          <w:spacing w:val="-2"/>
          <w:szCs w:val="21"/>
          <w:highlight w:val="none"/>
          <w:lang w:val="zh-CN" w:bidi="zh-CN"/>
        </w:rPr>
        <w:t xml:space="preserve">万元，属于</w:t>
      </w:r>
      <w:r>
        <w:rPr>
          <w:rFonts w:hint="eastAsia" w:ascii="宋体" w:hAnsi="宋体" w:cs="宋体"/>
          <w:color w:val="auto"/>
          <w:szCs w:val="21"/>
          <w:highlight w:val="none"/>
          <w:u w:val="single"/>
          <w:lang w:val="zh-CN" w:bidi="zh-CN"/>
        </w:rPr>
        <w:t xml:space="preserve">（中型企业、小型企业、微型企业）</w:t>
      </w:r>
      <w:r>
        <w:rPr>
          <w:rFonts w:hint="eastAsia" w:ascii="宋体" w:hAnsi="宋体" w:cs="宋体"/>
          <w:color w:val="auto"/>
          <w:szCs w:val="21"/>
          <w:highlight w:val="none"/>
          <w:lang w:val="zh-CN" w:bidi="zh-CN"/>
        </w:rPr>
        <w:t xml:space="preserve">；</w:t>
      </w:r>
      <w:r/>
    </w:p>
    <w:p>
      <w:pPr>
        <w:pStyle w:val="962"/>
        <w:ind w:left="860"/>
        <w:spacing w:before="11"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p>
      <w:pPr>
        <w:pStyle w:val="962"/>
        <w:ind w:right="357" w:firstLine="645"/>
        <w:jc w:val="both"/>
        <w:spacing w:before="108" w:line="360" w:lineRule="auto"/>
        <w:widowControl w:val="off"/>
        <w:rPr>
          <w:rFonts w:ascii="宋体" w:hAnsi="宋体" w:cs="宋体"/>
          <w:color w:val="auto"/>
          <w:sz w:val="21"/>
          <w:szCs w:val="21"/>
          <w:highlight w:val="none"/>
        </w:rPr>
      </w:pPr>
      <w:r>
        <w:rPr>
          <w:rFonts w:hint="eastAsia" w:ascii="宋体" w:hAnsi="宋体" w:cs="宋体"/>
          <w:color w:val="auto"/>
          <w:spacing w:val="-3"/>
          <w:sz w:val="21"/>
          <w:szCs w:val="21"/>
          <w:highlight w:val="none"/>
        </w:rPr>
        <w:t xml:space="preserve">以上企业，不属于大企业的分支机构，不存在控股股东</w:t>
      </w:r>
      <w:r>
        <w:rPr>
          <w:rFonts w:hint="eastAsia" w:ascii="宋体" w:hAnsi="宋体" w:cs="宋体"/>
          <w:color w:val="auto"/>
          <w:spacing w:val="-5"/>
          <w:sz w:val="21"/>
          <w:szCs w:val="21"/>
          <w:highlight w:val="none"/>
        </w:rPr>
        <w:t xml:space="preserve">为大企业的情形，也不存在与大企业的负责人为同一人的情形。</w:t>
      </w:r>
      <w:r/>
    </w:p>
    <w:p>
      <w:pPr>
        <w:pStyle w:val="962"/>
        <w:ind w:right="315" w:firstLine="64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投标单位（公章）：</w:t>
      </w:r>
      <w:r/>
    </w:p>
    <w:p>
      <w:pPr>
        <w:ind w:left="432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法定代表人或被委托人：（签字或盖章）</w:t>
      </w:r>
      <w:r/>
    </w:p>
    <w:p>
      <w:pPr>
        <w:ind w:left="432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日期：年月日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2"/>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1、本项目属于专门面向中小企业采购的项目，必须提供</w:t>
      </w:r>
      <w:r>
        <w:rPr>
          <w:rFonts w:hint="eastAsia" w:ascii="宋体" w:hAnsi="宋体" w:cs="宋体"/>
          <w:b/>
          <w:bCs/>
          <w:color w:val="auto"/>
          <w:sz w:val="21"/>
          <w:szCs w:val="21"/>
          <w:highlight w:val="none"/>
        </w:rPr>
        <w:t xml:space="preserve">符合要求的</w:t>
      </w:r>
      <w:r>
        <w:rPr>
          <w:rFonts w:hint="eastAsia" w:ascii="宋体" w:hAnsi="宋体" w:cs="宋体"/>
          <w:b/>
          <w:bCs/>
          <w:color w:val="auto"/>
          <w:sz w:val="21"/>
          <w:szCs w:val="21"/>
          <w:highlight w:val="none"/>
          <w:lang w:val="zh-CN"/>
        </w:rPr>
        <w:t xml:space="preserve">中小企业声明函，</w:t>
      </w:r>
      <w:r>
        <w:rPr>
          <w:rFonts w:hint="eastAsia" w:ascii="宋体" w:hAnsi="宋体" w:cs="宋体"/>
          <w:b/>
          <w:bCs/>
          <w:color w:val="auto"/>
          <w:sz w:val="21"/>
          <w:szCs w:val="21"/>
          <w:highlight w:val="none"/>
        </w:rPr>
        <w:t xml:space="preserve">否则投标无效。</w:t>
      </w:r>
      <w:r>
        <w:rPr>
          <w:rFonts w:hint="eastAsia" w:ascii="宋体" w:hAnsi="宋体" w:cs="宋体"/>
          <w:b/>
          <w:bCs/>
          <w:color w:val="auto"/>
          <w:sz w:val="21"/>
          <w:szCs w:val="21"/>
          <w:highlight w:val="none"/>
          <w:lang w:val="zh-CN"/>
        </w:rPr>
        <w:t xml:space="preserve">中小企业划分标准详见“工信部联企业〔2011〕300号通知”。</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格式12:</w:t>
      </w: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ascii="宋体" w:hAnsi="宋体" w:cs="宋体"/>
          <w:color w:val="auto"/>
          <w:sz w:val="21"/>
          <w:szCs w:val="21"/>
          <w:highlight w:val="none"/>
        </w:rPr>
      </w:pPr>
      <w:r>
        <w:rPr>
          <w:rFonts w:ascii="宋体" w:hAnsi="宋体" w:cs="宋体"/>
          <w:color w:val="auto"/>
          <w:sz w:val="21"/>
          <w:szCs w:val="21"/>
          <w:highlight w:val="none"/>
        </w:rPr>
      </w:r>
      <w:r/>
    </w:p>
    <w:p>
      <w:pPr>
        <w:pStyle w:val="1035"/>
        <w:ind w:left="3400" w:firstLine="425"/>
        <w:spacing w:line="360" w:lineRule="auto"/>
        <w:rPr>
          <w:rFonts w:hAnsi="宋体" w:cs="宋体"/>
          <w:color w:val="auto"/>
          <w:sz w:val="21"/>
          <w:szCs w:val="21"/>
          <w:highlight w:val="none"/>
        </w:rPr>
      </w:pPr>
      <w:r>
        <w:rPr>
          <w:rFonts w:hint="eastAsia" w:hAnsi="宋体" w:cs="宋体"/>
          <w:color w:val="auto"/>
          <w:sz w:val="21"/>
          <w:szCs w:val="21"/>
          <w:highlight w:val="none"/>
        </w:rPr>
        <w:t xml:space="preserve">投标单位：（盖章）</w:t>
      </w:r>
      <w:r/>
    </w:p>
    <w:p>
      <w:pPr>
        <w:pStyle w:val="1035"/>
        <w:ind w:left="3825"/>
        <w:spacing w:line="360" w:lineRule="auto"/>
        <w:rPr>
          <w:rFonts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35"/>
        <w:ind w:firstLine="5250"/>
        <w:spacing w:line="360" w:lineRule="auto"/>
        <w:rPr>
          <w:rFonts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ascii="宋体" w:hAnsi="宋体" w:cs="宋体"/>
          <w:color w:val="auto"/>
          <w:sz w:val="21"/>
          <w:szCs w:val="21"/>
          <w:highlight w:val="none"/>
        </w:rPr>
      </w:pPr>
      <w:r>
        <w:rPr>
          <w:rFonts w:ascii="宋体" w:hAnsi="宋体" w:cs="宋体"/>
          <w:color w:val="auto"/>
          <w:sz w:val="21"/>
          <w:szCs w:val="21"/>
          <w:highlight w:val="none"/>
        </w:rPr>
      </w:r>
      <w:r/>
    </w:p>
    <w:p>
      <w:pPr>
        <w:pStyle w:val="979"/>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79"/>
        <w:spacing w:before="0" w:after="0" w:line="360" w:lineRule="auto"/>
        <w:rPr>
          <w:rFonts w:ascii="宋体" w:hAnsi="宋体" w:cs="宋体"/>
          <w:color w:val="auto"/>
          <w:sz w:val="21"/>
          <w:szCs w:val="21"/>
          <w:highlight w:val="none"/>
        </w:rPr>
      </w:pPr>
      <w:r>
        <w:rPr>
          <w:rFonts w:ascii="宋体" w:hAnsi="宋体" w:cs="宋体"/>
          <w:color w:val="auto"/>
          <w:sz w:val="21"/>
          <w:szCs w:val="21"/>
          <w:highlight w:val="none"/>
        </w:rPr>
      </w:r>
      <w:r/>
    </w:p>
    <w:p>
      <w:pPr>
        <w:pStyle w:val="978"/>
        <w:spacing w:beforeAutospacing="0" w:afterAutospacing="0" w:line="360" w:lineRule="auto"/>
        <w:rPr>
          <w:color w:val="auto"/>
          <w:sz w:val="21"/>
          <w:szCs w:val="21"/>
          <w:highlight w:val="none"/>
        </w:rPr>
      </w:pPr>
      <w:r/>
      <w:bookmarkStart w:id="2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3"/>
      <w:r/>
      <w:r/>
    </w:p>
    <w:p>
      <w:pPr>
        <w:pStyle w:val="959"/>
        <w:numPr>
          <w:ilvl w:val="0"/>
          <w:numId w:val="0"/>
        </w:numPr>
        <w:spacing w:line="360" w:lineRule="auto"/>
        <w:rPr>
          <w:rFonts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lang w:val="en-US" w:eastAsia="zh-CN"/>
        </w:rPr>
        <w:t xml:space="preserve">格式13：</w:t>
      </w:r>
      <w:r>
        <w:rPr>
          <w:rFonts w:hint="eastAsia" w:ascii="宋体" w:hAnsi="宋体" w:eastAsia="宋体" w:cs="宋体"/>
          <w:b/>
          <w:bCs/>
          <w:color w:val="auto"/>
          <w:sz w:val="21"/>
          <w:szCs w:val="21"/>
          <w:highlight w:val="none"/>
        </w:rPr>
        <w:t xml:space="preserve">偏离表</w:t>
      </w:r>
      <w:r/>
    </w:p>
    <w:p>
      <w:pPr>
        <w:pStyle w:val="959"/>
        <w:rPr>
          <w:rFonts w:ascii="宋体" w:hAnsi="宋体" w:eastAsia="宋体"/>
          <w:b/>
          <w:bCs/>
          <w:color w:val="auto"/>
          <w:szCs w:val="24"/>
          <w:highlight w:val="none"/>
        </w:rPr>
      </w:pPr>
      <w:r>
        <w:rPr>
          <w:rFonts w:ascii="宋体" w:hAnsi="宋体" w:eastAsia="宋体"/>
          <w:b/>
          <w:bCs/>
          <w:color w:val="auto"/>
          <w:szCs w:val="24"/>
          <w:highlight w:val="none"/>
        </w:rPr>
      </w:r>
      <w:r/>
    </w:p>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（1）服务条款偏离表</w:t>
      </w:r>
      <w:r/>
    </w:p>
    <w:p>
      <w:pPr>
        <w:ind w:firstLine="525"/>
        <w:spacing w:line="380" w:lineRule="exact"/>
        <w:rPr>
          <w:color w:val="auto"/>
          <w:sz w:val="21"/>
          <w:szCs w:val="21"/>
          <w:highlight w:val="none"/>
          <w:lang w:val="zh-CN"/>
        </w:rPr>
      </w:pPr>
      <w:r>
        <w:rPr>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lang w:val="en-US" w:eastAsia="zh-CN"/>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58"/>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0"/>
        <w:gridCol w:w="1557"/>
        <w:gridCol w:w="2181"/>
        <w:gridCol w:w="2320"/>
        <w:gridCol w:w="2200"/>
      </w:tblGrid>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序号</w:t>
            </w:r>
            <w:r/>
          </w:p>
        </w:tc>
        <w:tc>
          <w:tcPr>
            <w:tcW w:w="1557" w:type="dxa"/>
            <w:vAlign w:val="center"/>
            <w:textDirection w:val="lrTb"/>
            <w:noWrap/>
          </w:tcPr>
          <w:p>
            <w:pPr>
              <w:pStyle w:val="959"/>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181" w:type="dxa"/>
            <w:vAlign w:val="center"/>
            <w:textDirection w:val="lrTb"/>
            <w:noWrap/>
          </w:tcPr>
          <w:p>
            <w:pPr>
              <w:pStyle w:val="959"/>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320" w:type="dxa"/>
            <w:vAlign w:val="center"/>
            <w:textDirection w:val="lrTb"/>
            <w:noWrap/>
          </w:tcPr>
          <w:p>
            <w:pPr>
              <w:pStyle w:val="959"/>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响应</w:t>
            </w:r>
            <w:r/>
          </w:p>
        </w:tc>
        <w:tc>
          <w:tcPr>
            <w:tcW w:w="2200" w:type="dxa"/>
            <w:vAlign w:val="center"/>
            <w:textDirection w:val="lrTb"/>
            <w:noWrap/>
          </w:tcPr>
          <w:p>
            <w:pPr>
              <w:pStyle w:val="959"/>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1</w:t>
            </w:r>
            <w:r/>
          </w:p>
        </w:tc>
        <w:tc>
          <w:tcPr>
            <w:tcW w:w="1557" w:type="dxa"/>
            <w:vAlign w:val="center"/>
            <w:textDirection w:val="lrTb"/>
            <w:noWrap/>
          </w:tcPr>
          <w:p>
            <w:pPr>
              <w:pStyle w:val="959"/>
              <w:ind w:firstLine="699"/>
              <w:jc w:val="both"/>
              <w:spacing w:line="360" w:lineRule="auto"/>
              <w:rPr>
                <w:rFonts w:hint="default" w:ascii="宋体" w:hAnsi="宋体" w:eastAsia="宋体"/>
                <w:color w:val="auto"/>
                <w:sz w:val="21"/>
                <w:szCs w:val="21"/>
                <w:highlight w:val="none"/>
                <w:lang w:val="en-US" w:eastAsia="zh-CN"/>
              </w:rPr>
            </w:pPr>
            <w:r>
              <w:rPr>
                <w:rFonts w:hint="default" w:ascii="宋体" w:hAnsi="宋体" w:eastAsia="宋体"/>
                <w:color w:val="auto"/>
                <w:sz w:val="21"/>
                <w:szCs w:val="21"/>
                <w:highlight w:val="none"/>
                <w:lang w:val="en-US" w:eastAsia="zh-CN"/>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2</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3</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4</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5</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6</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880" w:type="dxa"/>
            <w:vAlign w:val="center"/>
            <w:textDirection w:val="lrTb"/>
            <w:noWrap/>
          </w:tcPr>
          <w:p>
            <w:pPr>
              <w:jc w:val="center"/>
              <w:rPr>
                <w:color w:val="auto"/>
                <w:sz w:val="21"/>
                <w:szCs w:val="21"/>
                <w:highlight w:val="none"/>
              </w:rPr>
            </w:pPr>
            <w:r>
              <w:rPr>
                <w:rFonts w:hint="eastAsia"/>
                <w:color w:val="auto"/>
                <w:sz w:val="21"/>
                <w:szCs w:val="21"/>
                <w:highlight w:val="none"/>
              </w:rPr>
              <w:t xml:space="preserve">……</w:t>
            </w:r>
            <w:r/>
          </w:p>
        </w:tc>
        <w:tc>
          <w:tcPr>
            <w:tcW w:w="1557"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181"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2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200" w:type="dxa"/>
            <w:vAlign w:val="center"/>
            <w:textDirection w:val="lrTb"/>
            <w:noWrap/>
          </w:tcPr>
          <w:p>
            <w:pPr>
              <w:pStyle w:val="959"/>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360" w:lineRule="auto"/>
        <w:rPr>
          <w:rFonts w:ascii="宋体" w:hAnsi="宋体" w:cs="宋体"/>
          <w:b/>
          <w:color w:val="auto"/>
          <w:spacing w:val="20"/>
          <w:sz w:val="21"/>
          <w:szCs w:val="21"/>
          <w:highlight w:val="none"/>
        </w:rPr>
      </w:pPr>
      <w:r>
        <w:rPr>
          <w:rFonts w:hint="eastAsia" w:ascii="宋体" w:hAnsi="宋体" w:cs="宋体"/>
          <w:color w:val="auto"/>
          <w:sz w:val="21"/>
          <w:szCs w:val="21"/>
          <w:highlight w:val="none"/>
        </w:rPr>
        <w:t xml:space="preserve">（2）</w:t>
      </w:r>
      <w:r>
        <w:rPr>
          <w:rFonts w:hint="eastAsia" w:ascii="宋体" w:hAnsi="宋体" w:cs="宋体"/>
          <w:b/>
          <w:color w:val="auto"/>
          <w:spacing w:val="20"/>
          <w:sz w:val="21"/>
          <w:szCs w:val="21"/>
          <w:highlight w:val="none"/>
        </w:rPr>
        <w:t xml:space="preserve">商务条款偏离表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投标人：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val="zh-CN"/>
        </w:rPr>
        <w:t xml:space="preserve"> 招标编号∶</w:t>
      </w:r>
      <w:r/>
    </w:p>
    <w:tbl>
      <w:tblPr>
        <w:tblStyle w:val="958"/>
        <w:tblW w:w="9778"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04"/>
        <w:gridCol w:w="1611"/>
        <w:gridCol w:w="3029"/>
        <w:gridCol w:w="2654"/>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序号</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项目</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招标文件要求</w:t>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投标响应</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（1）</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合同履行期限 </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（2）</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报价要求</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（3）</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付款方式</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（4）</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ascii="宋体" w:hAnsi="宋体" w:cs="宋体"/>
                <w:bCs/>
                <w:color w:val="auto"/>
                <w:sz w:val="21"/>
                <w:szCs w:val="21"/>
                <w:highlight w:val="none"/>
              </w:rPr>
            </w:pPr>
            <w:r>
              <w:rPr>
                <w:rFonts w:hint="eastAsia" w:ascii="宋体" w:hAnsi="宋体" w:cs="宋体"/>
                <w:color w:val="auto"/>
                <w:sz w:val="21"/>
                <w:szCs w:val="21"/>
                <w:highlight w:val="none"/>
              </w:rPr>
              <w:t xml:space="preserve">人员</w:t>
            </w:r>
            <w:r>
              <w:rPr>
                <w:rFonts w:hint="eastAsia" w:ascii="宋体" w:hAnsi="宋体" w:cs="宋体"/>
                <w:color w:val="auto"/>
                <w:sz w:val="21"/>
                <w:szCs w:val="21"/>
                <w:highlight w:val="none"/>
                <w:lang w:val="en-US" w:eastAsia="zh-CN"/>
              </w:rPr>
              <w:t xml:space="preserve">设备</w:t>
            </w:r>
            <w:r>
              <w:rPr>
                <w:rFonts w:hint="eastAsia" w:ascii="宋体" w:hAnsi="宋体" w:cs="宋体"/>
                <w:color w:val="auto"/>
                <w:sz w:val="21"/>
                <w:szCs w:val="21"/>
                <w:highlight w:val="none"/>
              </w:rPr>
              <w:t xml:space="preserve">投入</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704" w:type="dxa"/>
            <w:vAlign w:val="center"/>
            <w:textDirection w:val="lrTb"/>
            <w:noWrap/>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w:t>
            </w:r>
            <w:r/>
          </w:p>
        </w:tc>
        <w:tc>
          <w:tcPr>
            <w:tcBorders>
              <w:top w:val="single" w:color="auto" w:sz="8" w:space="0"/>
              <w:left w:val="single" w:color="auto" w:sz="8" w:space="0"/>
              <w:bottom w:val="single" w:color="auto" w:sz="8" w:space="0"/>
              <w:right w:val="single" w:color="auto" w:sz="4" w:space="0"/>
            </w:tcBorders>
            <w:tcW w:w="1611" w:type="dxa"/>
            <w:vAlign w:val="center"/>
            <w:textDirection w:val="lrTb"/>
            <w:noWrap/>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其他商务要求</w:t>
            </w:r>
            <w:r/>
          </w:p>
        </w:tc>
        <w:tc>
          <w:tcPr>
            <w:tcBorders>
              <w:top w:val="single" w:color="auto" w:sz="8" w:space="0"/>
              <w:left w:val="single" w:color="auto" w:sz="4" w:space="0"/>
              <w:bottom w:val="single" w:color="auto" w:sz="8" w:space="0"/>
              <w:right w:val="single" w:color="auto" w:sz="8" w:space="0"/>
            </w:tcBorders>
            <w:tcW w:w="3029" w:type="dxa"/>
            <w:vAlign w:val="center"/>
            <w:textDirection w:val="lrTb"/>
            <w:noWrap/>
          </w:tcPr>
          <w:p>
            <w:pPr>
              <w:jc w:val="center"/>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2654"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tcPr>
          <w:p>
            <w:pPr>
              <w:jc w:val="cente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jc w:val="both"/>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1.供应商提交的响应文件中与</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文件的技术（服务）、商务部分的要求有不同时，应在本表中把</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rPr>
        <w:t xml:space="preserve">文件要求与实际响应内容逐项对应列出，并在“偏离说明”项下填写以下内容：优于的，填写“正偏离”；符合的，填写“无偏离”；低于的，填写“负偏离”。</w:t>
      </w:r>
      <w:r/>
    </w:p>
    <w:p>
      <w:pPr>
        <w:spacing w:line="400" w:lineRule="exact"/>
        <w:rPr>
          <w:rFonts w:ascii="宋体" w:hAnsi="宋体" w:cs="宋体"/>
          <w:b/>
          <w:bCs/>
          <w:color w:val="auto"/>
          <w:sz w:val="21"/>
          <w:szCs w:val="21"/>
          <w:highlight w:val="none"/>
        </w:rPr>
      </w:pPr>
      <w:r>
        <w:rPr>
          <w:rFonts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400" w:lineRule="exact"/>
        <w:rPr>
          <w:rFonts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格式1</w:t>
      </w:r>
      <w:r>
        <w:rPr>
          <w:rFonts w:hint="eastAsia" w:ascii="宋体" w:hAnsi="宋体" w:cs="宋体"/>
          <w:b/>
          <w:bCs/>
          <w:color w:val="auto"/>
          <w:sz w:val="21"/>
          <w:szCs w:val="21"/>
          <w:highlight w:val="none"/>
          <w:lang w:val="en-US" w:eastAsia="zh-CN"/>
        </w:rPr>
        <w:t xml:space="preserve">4</w:t>
      </w:r>
      <w:r>
        <w:rPr>
          <w:rFonts w:hint="eastAsia" w:ascii="宋体" w:hAnsi="宋体" w:cs="宋体"/>
          <w:b/>
          <w:bCs/>
          <w:color w:val="auto"/>
          <w:sz w:val="21"/>
          <w:szCs w:val="21"/>
          <w:highlight w:val="none"/>
        </w:rPr>
        <w:t xml:space="preserve">：相关证书一览表</w:t>
      </w:r>
      <w:r/>
    </w:p>
    <w:p>
      <w:pPr>
        <w:rPr>
          <w:rFonts w:ascii="宋体" w:hAnsi="宋体" w:cs="宋体"/>
          <w:color w:val="auto"/>
          <w:highlight w:val="none"/>
        </w:rPr>
      </w:pPr>
      <w:r>
        <w:rPr>
          <w:rFonts w:ascii="宋体" w:hAnsi="宋体" w:cs="宋体"/>
          <w:color w:val="auto"/>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5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63"/>
        <w:gridCol w:w="3154"/>
        <w:gridCol w:w="1479"/>
        <w:gridCol w:w="1337"/>
        <w:gridCol w:w="1823"/>
      </w:tblGrid>
      <w:tr>
        <w:trPr>
          <w:cantSplit/>
          <w:jc w:val="center"/>
          <w:trHeight w:val="740"/>
        </w:trPr>
        <w:tc>
          <w:tcPr>
            <w:tcW w:w="1563"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序号</w:t>
            </w:r>
            <w:r/>
          </w:p>
        </w:tc>
        <w:tc>
          <w:tcPr>
            <w:tcW w:w="3154"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证书名称</w:t>
            </w:r>
            <w:r/>
          </w:p>
        </w:tc>
        <w:tc>
          <w:tcPr>
            <w:tcW w:w="1479"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证书级别</w:t>
            </w:r>
            <w:r/>
          </w:p>
        </w:tc>
        <w:tc>
          <w:tcPr>
            <w:tcW w:w="1337"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包含项目</w:t>
            </w:r>
            <w:r/>
          </w:p>
        </w:tc>
        <w:tc>
          <w:tcPr>
            <w:tcW w:w="1823" w:type="dxa"/>
            <w:vAlign w:val="center"/>
            <w:textDirection w:val="lrTb"/>
            <w:noWrap/>
          </w:tcPr>
          <w:p>
            <w:pPr>
              <w:jc w:val="cente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备注</w:t>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1563" w:type="dxa"/>
            <w:vAlign w:val="center"/>
            <w:textDirection w:val="lrTb"/>
            <w:noWrap/>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154"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479"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c>
          <w:tcPr>
            <w:tcW w:w="1823" w:type="dxa"/>
            <w:vAlign w:val="center"/>
            <w:textDirection w:val="lrTb"/>
            <w:noWrap/>
          </w:tcPr>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：需按采购文件要求提供相关证明资料，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eastAsia="宋体" w:cs="宋体"/>
          <w:b/>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59"/>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5</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相关业绩一览表</w:t>
      </w:r>
      <w:r/>
    </w:p>
    <w:p>
      <w:pPr>
        <w:rPr>
          <w:rFonts w:ascii="宋体" w:hAnsi="宋体" w:cs="宋体"/>
          <w:b/>
          <w:color w:val="auto"/>
          <w:sz w:val="21"/>
          <w:szCs w:val="21"/>
          <w:highlight w:val="none"/>
        </w:rPr>
      </w:pPr>
      <w:r>
        <w:rPr>
          <w:rFonts w:ascii="宋体" w:hAnsi="宋体" w:cs="宋体"/>
          <w:b/>
          <w:color w:val="auto"/>
          <w:sz w:val="21"/>
          <w:szCs w:val="21"/>
          <w:highlight w:val="none"/>
        </w:rPr>
      </w:r>
      <w:r/>
    </w:p>
    <w:p>
      <w:pPr>
        <w:jc w:val="center"/>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相关业绩一览表</w:t>
      </w:r>
      <w:r/>
    </w:p>
    <w:p>
      <w:pPr>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5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签订日期</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r>
        <w:trPr>
          <w:cantSplit/>
          <w:jc w:val="center"/>
          <w:trHeight w:val="510" w:hRule="exact"/>
        </w:trPr>
        <w:tc>
          <w:tcPr>
            <w:tcW w:w="984" w:type="dxa"/>
            <w:vAlign w:val="center"/>
            <w:textDirection w:val="lrTb"/>
            <w:noWrap/>
          </w:tcPr>
          <w:p>
            <w:pPr>
              <w:jc w:val="center"/>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c>
          <w:tcPr>
            <w:tcW w:w="1337" w:type="dxa"/>
            <w:vAlign w:val="center"/>
            <w:textDirection w:val="lrTb"/>
            <w:noWrap/>
          </w:tcPr>
          <w:p>
            <w:pPr>
              <w:ind w:left="420"/>
              <w:spacing w:line="400" w:lineRule="exact"/>
              <w:rPr>
                <w:rFonts w:ascii="宋体" w:hAnsi="宋体" w:cs="宋体"/>
                <w:color w:val="auto"/>
                <w:sz w:val="21"/>
                <w:szCs w:val="21"/>
                <w:highlight w:val="none"/>
              </w:rPr>
            </w:pPr>
            <w:r>
              <w:rPr>
                <w:rFonts w:ascii="宋体" w:hAnsi="宋体" w:cs="宋体"/>
                <w:color w:val="auto"/>
                <w:sz w:val="21"/>
                <w:szCs w:val="21"/>
                <w:highlight w:val="none"/>
              </w:rPr>
            </w:r>
            <w:r/>
          </w:p>
        </w:tc>
      </w:tr>
    </w:tbl>
    <w:p>
      <w:pPr>
        <w:ind w:firstLine="718"/>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：需要按招标文件要求提供相关证明资料，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59"/>
        <w:ind w:firstLine="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59"/>
        <w:ind w:firstLine="0"/>
        <w:spacing w:line="360" w:lineRule="auto"/>
        <w:rPr>
          <w:rFonts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格式1</w:t>
      </w:r>
      <w:r>
        <w:rPr>
          <w:rFonts w:hint="eastAsia" w:ascii="宋体" w:hAnsi="宋体" w:eastAsia="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rPr>
        <w:t xml:space="preserve">：投入本项目技术（服务）人员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jc w:val="center"/>
        <w:rPr>
          <w:rFonts w:ascii="宋体" w:hAnsi="宋体" w:cs="宋体"/>
          <w:b/>
          <w:bCs/>
          <w:color w:val="auto"/>
          <w:sz w:val="21"/>
          <w:szCs w:val="21"/>
          <w:highlight w:val="none"/>
        </w:rPr>
      </w:pPr>
      <w:r>
        <w:rPr>
          <w:rFonts w:hint="eastAsia" w:ascii="宋体" w:hAnsi="宋体" w:cs="宋体"/>
          <w:b/>
          <w:color w:val="auto"/>
          <w:sz w:val="21"/>
          <w:szCs w:val="21"/>
          <w:highlight w:val="none"/>
        </w:rPr>
        <w:t xml:space="preserve">投入本项目技术（服务）人员</w:t>
      </w:r>
      <w:r>
        <w:rPr>
          <w:rFonts w:hint="eastAsia" w:ascii="宋体" w:hAnsi="宋体" w:cs="宋体"/>
          <w:b/>
          <w:bCs/>
          <w:color w:val="auto"/>
          <w:sz w:val="21"/>
          <w:szCs w:val="21"/>
          <w:highlight w:val="none"/>
        </w:rPr>
        <w:t xml:space="preserve">一览表</w:t>
      </w:r>
      <w:r/>
    </w:p>
    <w:p>
      <w:pPr>
        <w:pStyle w:val="962"/>
        <w:rPr>
          <w:color w:val="auto"/>
          <w:highlight w:val="none"/>
        </w:rPr>
      </w:pPr>
      <w:r>
        <w:rPr>
          <w:color w:val="auto"/>
          <w:highlight w:val="none"/>
        </w:rPr>
      </w:r>
      <w:r/>
    </w:p>
    <w:tbl>
      <w:tblPr>
        <w:tblStyle w:val="9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tcPr>
          <w:p>
            <w:pPr>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tcPr>
          <w:p>
            <w:pPr>
              <w:jc w:val="center"/>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t xml:space="preserve">相关证书</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如有</w:t>
            </w:r>
            <w:r>
              <w:rPr>
                <w:rFonts w:hint="eastAsia" w:ascii="宋体" w:hAnsi="宋体" w:cs="宋体"/>
                <w:b/>
                <w:color w:val="auto"/>
                <w:sz w:val="21"/>
                <w:szCs w:val="21"/>
                <w:highlight w:val="none"/>
                <w:lang w:eastAsia="zh-CN"/>
              </w:rPr>
              <w:t xml:space="preserve">）</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tcPr>
          <w:p>
            <w:pPr>
              <w:ind w:firstLine="17"/>
              <w:jc w:val="center"/>
              <w:rPr>
                <w:rFonts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jc w:val="center"/>
              <w:rPr>
                <w:rFonts w:ascii="宋体" w:hAnsi="宋体" w:cs="宋体"/>
                <w:color w:val="auto"/>
                <w:sz w:val="21"/>
                <w:szCs w:val="21"/>
                <w:highlight w:val="none"/>
              </w:rPr>
            </w:pPr>
            <w:r>
              <w:rPr>
                <w:rFonts w:ascii="宋体" w:hAnsi="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tcPr>
          <w:p>
            <w:pPr>
              <w:ind w:firstLine="480"/>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tcPr>
          <w:p>
            <w:pPr>
              <w:ind w:firstLine="480"/>
              <w:rPr>
                <w:rFonts w:ascii="宋体" w:hAnsi="宋体" w:cs="宋体"/>
                <w:color w:val="auto"/>
                <w:sz w:val="21"/>
                <w:szCs w:val="21"/>
                <w:highlight w:val="none"/>
              </w:rPr>
            </w:pPr>
            <w:r>
              <w:rPr>
                <w:rFonts w:ascii="宋体" w:hAnsi="宋体" w:cs="宋体"/>
                <w:color w:val="auto"/>
                <w:sz w:val="21"/>
                <w:szCs w:val="21"/>
                <w:highlight w:val="none"/>
              </w:rPr>
            </w:r>
            <w:r/>
          </w:p>
        </w:tc>
      </w:tr>
    </w:tbl>
    <w:p>
      <w:pP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注：1、需按招标文件要求提供项目团队成员相关证明资料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1035"/>
        <w:ind w:firstLine="492"/>
        <w:spacing w:line="360" w:lineRule="auto"/>
        <w:rPr>
          <w:rFonts w:hAnsi="宋体" w:cs="宋体"/>
          <w:color w:val="auto"/>
          <w:sz w:val="21"/>
          <w:szCs w:val="21"/>
          <w:highlight w:val="none"/>
          <w:u w:val="single"/>
        </w:rPr>
      </w:pPr>
      <w:r>
        <w:rPr>
          <w:rFonts w:hAnsi="宋体" w:cs="宋体"/>
          <w:color w:val="auto"/>
          <w:sz w:val="21"/>
          <w:szCs w:val="21"/>
          <w:highlight w:val="none"/>
          <w:u w:val="single"/>
        </w:rPr>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600"/>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60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日期：    </w:t>
      </w:r>
      <w:r>
        <w:rPr>
          <w:rFonts w:hint="eastAsia" w:ascii="宋体" w:hAnsi="宋体" w:cs="宋体"/>
          <w:color w:val="auto"/>
          <w:sz w:val="21"/>
          <w:szCs w:val="21"/>
          <w:highlight w:val="none"/>
          <w:lang w:val="zh-CN"/>
        </w:rPr>
        <w:t xml:space="preserve">年     月     日</w:t>
      </w:r>
      <w:r/>
    </w:p>
    <w:p>
      <w:pPr>
        <w:pStyle w:val="1035"/>
        <w:ind w:firstLine="5250"/>
        <w:spacing w:line="360" w:lineRule="auto"/>
        <w:rPr>
          <w:rFonts w:hAnsi="宋体" w:cs="宋体"/>
          <w:color w:val="auto"/>
          <w:sz w:val="21"/>
          <w:szCs w:val="21"/>
          <w:highlight w:val="none"/>
        </w:rPr>
      </w:pPr>
      <w:r>
        <w:rPr>
          <w:rFonts w:hAnsi="宋体" w:cs="宋体"/>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bCs/>
          <w:color w:val="auto"/>
          <w:sz w:val="21"/>
          <w:szCs w:val="21"/>
          <w:highlight w:val="none"/>
          <w:lang w:val="zh-CN"/>
        </w:rPr>
      </w:pPr>
      <w:r>
        <w:rPr>
          <w:rFonts w:hint="eastAsia" w:ascii="宋体" w:hAnsi="宋体" w:cs="宋体"/>
          <w:b/>
          <w:color w:val="auto"/>
          <w:sz w:val="21"/>
          <w:szCs w:val="21"/>
          <w:highlight w:val="none"/>
        </w:rPr>
        <w:t xml:space="preserve">格式1</w:t>
      </w:r>
      <w:r>
        <w:rPr>
          <w:rFonts w:hint="eastAsia" w:ascii="宋体" w:hAnsi="宋体" w:cs="宋体"/>
          <w:b/>
          <w:color w:val="auto"/>
          <w:sz w:val="21"/>
          <w:szCs w:val="21"/>
          <w:highlight w:val="none"/>
          <w:lang w:val="en-US" w:eastAsia="zh-CN"/>
        </w:rPr>
        <w:t xml:space="preserve">7</w:t>
      </w:r>
      <w:r>
        <w:rPr>
          <w:rFonts w:hint="eastAsia" w:ascii="宋体" w:hAnsi="宋体" w:cs="宋体"/>
          <w:b/>
          <w:color w:val="auto"/>
          <w:sz w:val="21"/>
          <w:szCs w:val="21"/>
          <w:highlight w:val="none"/>
        </w:rPr>
        <w:t xml:space="preserve">：服务方案及其他招标文件要求自行编写格式</w:t>
      </w:r>
      <w:r/>
    </w:p>
    <w:p>
      <w:pPr>
        <w:spacing w:line="400" w:lineRule="exact"/>
        <w:rPr>
          <w:rFonts w:ascii="宋体" w:hAnsi="宋体" w:cs="宋体"/>
          <w:b/>
          <w:color w:val="auto"/>
          <w:sz w:val="21"/>
          <w:szCs w:val="21"/>
          <w:highlight w:val="none"/>
        </w:rPr>
      </w:pPr>
      <w:r>
        <w:rPr>
          <w:rFonts w:ascii="宋体" w:hAnsi="宋体" w:cs="宋体"/>
          <w:b/>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rPr>
          <w:rFonts w:ascii="宋体" w:hAnsi="宋体" w:cs="宋体"/>
          <w:b/>
          <w:bCs/>
          <w:color w:val="auto"/>
          <w:sz w:val="21"/>
          <w:szCs w:val="21"/>
          <w:highlight w:val="none"/>
        </w:rPr>
      </w:pPr>
      <w:r>
        <w:rPr>
          <w:rFonts w:ascii="宋体" w:hAnsi="宋体" w:cs="宋体"/>
          <w:b/>
          <w:bCs/>
          <w:color w:val="auto"/>
          <w:sz w:val="21"/>
          <w:szCs w:val="21"/>
          <w:highlight w:val="none"/>
        </w:rPr>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r/>
    </w:p>
    <w:p>
      <w:pPr>
        <w:ind w:right="480"/>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jc w:val="both"/>
        <w:spacing w:line="360" w:lineRule="auto"/>
        <w:rPr>
          <w:rStyle w:val="990"/>
          <w:rFonts w:hint="eastAsia" w:ascii="宋体" w:hAnsi="宋体" w:eastAsia="宋体" w:cs="宋体"/>
          <w:color w:val="auto"/>
          <w:sz w:val="32"/>
          <w:szCs w:val="32"/>
          <w:highlight w:val="none"/>
        </w:rPr>
      </w:pPr>
      <w:r/>
      <w:bookmarkStart w:id="24" w:name="_Toc19345"/>
      <w:r/>
      <w:r/>
    </w:p>
    <w:p>
      <w:pPr>
        <w:jc w:val="center"/>
        <w:spacing w:line="360" w:lineRule="auto"/>
        <w:rPr>
          <w:rStyle w:val="990"/>
          <w:rFonts w:ascii="宋体" w:hAnsi="宋体" w:eastAsia="宋体" w:cs="宋体"/>
          <w:color w:val="auto"/>
          <w:sz w:val="32"/>
          <w:szCs w:val="32"/>
          <w:highlight w:val="none"/>
        </w:rPr>
      </w:pPr>
      <w:r>
        <w:rPr>
          <w:rStyle w:val="990"/>
          <w:rFonts w:hint="eastAsia" w:ascii="宋体" w:hAnsi="宋体" w:eastAsia="宋体" w:cs="宋体"/>
          <w:color w:val="auto"/>
          <w:sz w:val="32"/>
          <w:szCs w:val="32"/>
          <w:highlight w:val="none"/>
        </w:rPr>
        <w:t xml:space="preserve">第五章 评标办法及评分标准</w:t>
      </w:r>
      <w:bookmarkEnd w:id="24"/>
      <w:r/>
      <w:r/>
    </w:p>
    <w:p>
      <w:pPr>
        <w:pStyle w:val="1015"/>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一、评标办法：</w:t>
      </w:r>
      <w:r/>
    </w:p>
    <w:p>
      <w:pPr>
        <w:pStyle w:val="1015"/>
        <w:numPr>
          <w:ilvl w:val="0"/>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ascii="宋体" w:hAnsi="宋体" w:eastAsia="宋体" w:cs="宋体"/>
          <w:color w:val="auto"/>
          <w:sz w:val="21"/>
          <w:szCs w:val="21"/>
          <w:highlight w:val="none"/>
          <w:lang w:val="zh-CN"/>
        </w:rPr>
        <w:t xml:space="preserve">综合评分得分最高的投标人为中标候选人</w:t>
      </w:r>
      <w:r>
        <w:rPr>
          <w:rFonts w:hint="eastAsia" w:ascii="宋体"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政府采购政策</w:t>
      </w:r>
      <w:r/>
    </w:p>
    <w:p>
      <w:pPr>
        <w:numPr>
          <w:ilvl w:val="1"/>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节能产品和环境标志产品</w:t>
      </w:r>
      <w:r/>
    </w:p>
    <w:p>
      <w:pPr>
        <w:ind w:left="0" w:firstLine="420"/>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eastAsia="宋体" w:cs="宋体"/>
          <w:b/>
          <w:bCs/>
          <w:color w:val="auto"/>
          <w:sz w:val="21"/>
          <w:szCs w:val="21"/>
          <w:highlight w:val="none"/>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1"/>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小微企业的价格分评审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根据财政部《政府采购促进中小企业发展管理办法》（财库﹝2020﹞46号）及苏州市财政局《关于进一步做好政府采购政策贯彻执行工作的通知》（苏财购〔2017〕10号）文的规定：</w:t>
      </w:r>
      <w:r>
        <w:rPr>
          <w:rFonts w:hint="eastAsia" w:ascii="宋体" w:hAnsi="宋体" w:eastAsia="宋体" w:cs="宋体"/>
          <w:b/>
          <w:bCs/>
          <w:color w:val="auto"/>
          <w:sz w:val="21"/>
          <w:szCs w:val="21"/>
          <w:highlight w:val="none"/>
        </w:rPr>
        <w:t xml:space="preserve">本项目属于专门面向中小微企业采购的项目，执行以下相关政策</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（1）本项目属于专门面向中小微企业，小微企业不享受价格扣除优惠。</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（2）中小企业划分标准详见“工信部联企业〔2011〕300号通知”。</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（3）小微企业提供中型企业制造或使用中型企业注册商标的货物的，视同为中型企业。小微企业提供大型企业制造或使用大型企业注册商标的货物的，视同为大型企业。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（4）各投标单位若为中、小、微型企业，则必须提供《中小企业声明函》。（详见附件格式中小企业声明函）。未在投标文件中提供《中小企业声明函》的，不享受促进中小微企业发展的相关政府采购政策。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（5）提供其他企业制造的货物或服务，须同时提供其他企业的小微企业证明材料（材料同上条）</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（6）在货物采购项目中，供应商提供的货物既有小、微企业制造货物，也有中、大型企业制造货物的，不享受本办法规定的小、微企业价格扶持政策。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（7）以联合体形式参加政府采购活动，联合体各方均为中小企业的，联合体视同中小企业。其中，联合体各方均为小、微企业的，联合体视同小、微企业。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（8）符合中小企业划分标准的个体工商户，在政府采购活动中视同中小企业。</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（9）中标、成交供应商为小微企业单位的，《中小企业声明函》应当随中标、成交结果同时公告，接受社会监督。</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填报“中小企业声明函”需严格按“工信部联企业〔2011〕300号通知”中的《中小企业划型标准规定》进行。</w:t>
      </w:r>
      <w:r/>
    </w:p>
    <w:p>
      <w:pPr>
        <w:pStyle w:val="978"/>
        <w:numPr>
          <w:ilvl w:val="0"/>
          <w:numId w:val="7"/>
        </w:numPr>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（3）中标、成交供应商为残疾人福利性单位的，《残疾人福利性单位声明函》应当随中标、成交结果同时公告，接受社会监督。</w:t>
      </w:r>
      <w:r/>
    </w:p>
    <w:p>
      <w:pPr>
        <w:pStyle w:val="978"/>
        <w:numPr>
          <w:ilvl w:val="0"/>
          <w:numId w:val="7"/>
        </w:numPr>
        <w:ind w:left="0" w:firstLine="420"/>
        <w:keepLines w:val="0"/>
        <w:keepNext w:val="0"/>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监狱企业发展政策：</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left="0" w:firstLine="422"/>
        <w:keepLines w:val="0"/>
        <w:keepNext w:val="0"/>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若投标单位提供的声明函或认定证明为虚假声明则视同提供虚假材料，按“政府采购法”相关规定处理并报请政府监管部门给予行政处罚。</w:t>
      </w:r>
      <w:r/>
    </w:p>
    <w:p>
      <w:pPr>
        <w:numPr>
          <w:ilvl w:val="1"/>
          <w:numId w:val="6"/>
        </w:num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信用查询</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（1）查询时间：投标文件递交截止时间后。</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（2）查询渠道：通过“信用中国”网站、中国政府采购网等渠道查询相关主体信用记录。</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lef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（4）信用记录使用规则：对供应商进行资格性审查时，应根据查询结果对供应商的不良信用记录逐项甄别确认。</w:t>
      </w:r>
      <w:r/>
    </w:p>
    <w:p>
      <w:pPr>
        <w:ind w:left="0" w:firstLine="42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二、评分标准：</w:t>
      </w:r>
      <w:r/>
    </w:p>
    <w:p>
      <w:pPr>
        <w:ind w:left="0"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（一）投标报价（</w:t>
      </w:r>
      <w:r>
        <w:rPr>
          <w:rFonts w:hint="eastAsia" w:ascii="宋体" w:hAnsi="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分）</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投标报价低于或等于最高限价的为有效投标。超过最高限价的投标报价或招标文件规定的报价为无效投标。无效投标价的投标文件不进行评审，也不得标。报价得分：在所有有效投标报价中满足招标文件要求，且投标</w:t>
      </w:r>
      <w:r>
        <w:rPr>
          <w:rFonts w:hint="eastAsia" w:ascii="宋体" w:hAnsi="宋体" w:cs="宋体"/>
          <w:color w:val="auto"/>
          <w:sz w:val="21"/>
          <w:szCs w:val="21"/>
          <w:highlight w:val="none"/>
          <w:lang w:val="en-US" w:eastAsia="zh-CN" w:bidi="ar-SA"/>
        </w:rPr>
        <w:t xml:space="preserve">价格最低</w:t>
      </w:r>
      <w:r>
        <w:rPr>
          <w:rFonts w:hint="eastAsia" w:ascii="宋体" w:hAnsi="宋体" w:eastAsia="宋体" w:cs="宋体"/>
          <w:color w:val="auto"/>
          <w:sz w:val="21"/>
          <w:szCs w:val="21"/>
          <w:highlight w:val="none"/>
          <w:lang w:val="en-US" w:eastAsia="zh-CN" w:bidi="ar-SA"/>
        </w:rPr>
        <w:t xml:space="preserve">的投标报价为评标基准</w:t>
      </w:r>
      <w:r>
        <w:rPr>
          <w:rFonts w:hint="eastAsia" w:ascii="宋体" w:hAnsi="宋体" w:cs="宋体"/>
          <w:color w:val="auto"/>
          <w:sz w:val="21"/>
          <w:szCs w:val="21"/>
          <w:highlight w:val="none"/>
          <w:lang w:val="en-US" w:eastAsia="zh-CN" w:bidi="ar-SA"/>
        </w:rPr>
        <w:t xml:space="preserve">价</w:t>
      </w:r>
      <w:r>
        <w:rPr>
          <w:rFonts w:hint="eastAsia" w:ascii="宋体" w:hAnsi="宋体" w:eastAsia="宋体" w:cs="宋体"/>
          <w:color w:val="auto"/>
          <w:sz w:val="21"/>
          <w:szCs w:val="21"/>
          <w:highlight w:val="none"/>
          <w:lang w:val="en-US" w:eastAsia="zh-CN" w:bidi="ar-SA"/>
        </w:rPr>
        <w:t xml:space="preserve">，其价格分为满分。其他投标人的价格分统一按照下列公式计算（计算结果四舍五入保留两位小数）：</w:t>
      </w:r>
      <w:r/>
    </w:p>
    <w:p>
      <w:pPr>
        <w:ind w:left="0"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报价得分=评审基准价/</w:t>
      </w:r>
      <w:r>
        <w:rPr>
          <w:rFonts w:hint="eastAsia" w:ascii="宋体" w:hAnsi="宋体" w:eastAsia="宋体" w:cs="宋体"/>
          <w:color w:val="auto"/>
          <w:sz w:val="21"/>
          <w:szCs w:val="21"/>
          <w:highlight w:val="none"/>
        </w:rPr>
        <w:t xml:space="preserve">投标报价</w:t>
      </w:r>
      <w:r>
        <w:rPr>
          <w:rFonts w:hint="eastAsia" w:ascii="宋体" w:hAnsi="宋体" w:eastAsia="宋体" w:cs="宋体"/>
          <w:color w:val="auto"/>
          <w:sz w:val="21"/>
          <w:szCs w:val="21"/>
          <w:highlight w:val="none"/>
          <w:lang w:val="en-US" w:eastAsia="zh-CN" w:bidi="ar-SA"/>
        </w:rPr>
        <w:t xml:space="preserve">*价格权值*100（本次采购价格权值为</w:t>
      </w:r>
      <w:r>
        <w:rPr>
          <w:rFonts w:hint="eastAsia" w:ascii="宋体" w:hAnsi="宋体" w:cs="宋体"/>
          <w:color w:val="auto"/>
          <w:sz w:val="21"/>
          <w:szCs w:val="21"/>
          <w:highlight w:val="none"/>
          <w:lang w:val="en-US" w:eastAsia="zh-CN" w:bidi="ar-SA"/>
        </w:rPr>
        <w:t xml:space="preserve">20</w:t>
      </w:r>
      <w:r>
        <w:rPr>
          <w:rFonts w:hint="eastAsia" w:ascii="宋体" w:hAnsi="宋体" w:eastAsia="宋体" w:cs="宋体"/>
          <w:color w:val="auto"/>
          <w:sz w:val="21"/>
          <w:szCs w:val="21"/>
          <w:highlight w:val="none"/>
          <w:lang w:val="en-US" w:eastAsia="zh-CN" w:bidi="ar-SA"/>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二）技术方案：（52</w:t>
      </w:r>
      <w:r>
        <w:rPr>
          <w:rFonts w:hint="eastAsia" w:ascii="宋体" w:hAnsi="宋体" w:eastAsia="宋体" w:cs="宋体"/>
          <w:b/>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1、维修服务方案（</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供应商针对本项目提出的维修服务方案，</w:t>
      </w:r>
      <w:r>
        <w:rPr>
          <w:rFonts w:hint="eastAsia" w:ascii="宋体" w:hAnsi="宋体" w:eastAsia="宋体" w:cs="宋体"/>
          <w:color w:val="auto"/>
          <w:sz w:val="21"/>
          <w:szCs w:val="21"/>
          <w:highlight w:val="none"/>
          <w:lang w:val="en-US" w:eastAsia="zh-CN"/>
        </w:rPr>
        <w:t xml:space="preserve">方案内容至少包括：①</w:t>
      </w:r>
      <w:r>
        <w:rPr>
          <w:rFonts w:hint="eastAsia" w:ascii="宋体" w:hAnsi="宋体" w:eastAsia="宋体" w:cs="宋体"/>
          <w:color w:val="auto"/>
          <w:sz w:val="21"/>
          <w:szCs w:val="21"/>
          <w:highlight w:val="none"/>
        </w:rPr>
        <w:t xml:space="preserve">车辆</w:t>
      </w:r>
      <w:r>
        <w:rPr>
          <w:rFonts w:hint="eastAsia" w:ascii="宋体" w:hAnsi="宋体" w:eastAsia="宋体" w:cs="宋体"/>
          <w:color w:val="auto"/>
          <w:sz w:val="21"/>
          <w:szCs w:val="21"/>
          <w:highlight w:val="none"/>
          <w:lang w:val="en-US" w:eastAsia="zh-CN"/>
        </w:rPr>
        <w:t xml:space="preserve">维修流程</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整车修理、</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rPr>
        <w:t xml:space="preserve">总成修理、</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rPr>
        <w:t xml:space="preserve">整车维护保养、</w:t>
      </w: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rPr>
        <w:t xml:space="preserve">二级维护、</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rPr>
        <w:t xml:space="preserve">一级维护</w:t>
      </w:r>
      <w:r>
        <w:rPr>
          <w:rFonts w:hint="eastAsia" w:ascii="宋体" w:hAnsi="宋体" w:eastAsia="宋体" w:cs="宋体"/>
          <w:color w:val="auto"/>
          <w:sz w:val="21"/>
          <w:szCs w:val="21"/>
          <w:highlight w:val="none"/>
          <w:lang w:val="en-US" w:eastAsia="zh-CN"/>
        </w:rPr>
        <w:t xml:space="preserve">内容等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方案内容针对本项目且符合本项目实际需求的满足一项得4分，最高24分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项目管理方案</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24</w:t>
      </w:r>
      <w:r>
        <w:rPr>
          <w:rFonts w:hint="eastAsia" w:ascii="宋体" w:hAnsi="宋体" w:eastAsia="宋体" w:cs="宋体"/>
          <w:color w:val="auto"/>
          <w:sz w:val="21"/>
          <w:szCs w:val="21"/>
          <w:highlight w:val="none"/>
        </w:rPr>
        <w:t xml:space="preserve">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供应商针对本项目提出</w:t>
      </w:r>
      <w:r>
        <w:rPr>
          <w:rFonts w:hint="eastAsia" w:ascii="宋体" w:hAnsi="宋体" w:eastAsia="宋体" w:cs="宋体"/>
          <w:color w:val="auto"/>
          <w:sz w:val="21"/>
          <w:szCs w:val="21"/>
          <w:highlight w:val="none"/>
          <w:lang w:val="en-US" w:eastAsia="zh-CN"/>
        </w:rPr>
        <w:t xml:space="preserve">针对本项目的管理</w:t>
      </w:r>
      <w:r>
        <w:rPr>
          <w:rFonts w:hint="eastAsia" w:ascii="宋体" w:hAnsi="宋体" w:eastAsia="宋体" w:cs="宋体"/>
          <w:color w:val="auto"/>
          <w:sz w:val="21"/>
          <w:szCs w:val="21"/>
          <w:highlight w:val="none"/>
        </w:rPr>
        <w:t xml:space="preserve">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方案内容至少包括：①售后服务及</w:t>
      </w:r>
      <w:r>
        <w:rPr>
          <w:rFonts w:hint="eastAsia" w:ascii="宋体" w:hAnsi="宋体" w:eastAsia="宋体" w:cs="宋体"/>
          <w:color w:val="auto"/>
          <w:sz w:val="21"/>
          <w:szCs w:val="21"/>
          <w:highlight w:val="none"/>
          <w:lang w:val="zh-CN" w:eastAsia="zh-CN" w:bidi="ar-SA"/>
        </w:rPr>
        <w:t xml:space="preserve">应急</w:t>
      </w:r>
      <w:r>
        <w:rPr>
          <w:rFonts w:hint="eastAsia" w:ascii="宋体" w:hAnsi="宋体" w:eastAsia="宋体" w:cs="宋体"/>
          <w:color w:val="auto"/>
          <w:sz w:val="21"/>
          <w:szCs w:val="21"/>
          <w:highlight w:val="none"/>
          <w:lang w:val="en-US" w:eastAsia="zh-CN" w:bidi="ar-SA"/>
        </w:rPr>
        <w:t xml:space="preserve">处理方案</w:t>
      </w:r>
      <w:r>
        <w:rPr>
          <w:rFonts w:hint="eastAsia" w:ascii="宋体" w:hAnsi="宋体" w:eastAsia="宋体" w:cs="宋体"/>
          <w:color w:val="auto"/>
          <w:sz w:val="21"/>
          <w:szCs w:val="21"/>
          <w:highlight w:val="none"/>
          <w:lang w:val="en-US" w:eastAsia="zh-CN"/>
        </w:rPr>
        <w:t xml:space="preserve">②服务响应方案</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val="zh-CN" w:eastAsia="zh-CN" w:bidi="ar-SA"/>
        </w:rPr>
        <w:t xml:space="preserve">维修服务期内的信息报送</w:t>
      </w:r>
      <w:r>
        <w:rPr>
          <w:rFonts w:hint="eastAsia" w:ascii="宋体" w:hAnsi="宋体" w:eastAsia="宋体" w:cs="宋体"/>
          <w:color w:val="auto"/>
          <w:sz w:val="21"/>
          <w:szCs w:val="21"/>
          <w:highlight w:val="none"/>
          <w:lang w:val="en-US" w:eastAsia="zh-CN" w:bidi="ar-SA"/>
        </w:rPr>
        <w:t xml:space="preserve">方案 </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val="zh-CN" w:eastAsia="zh-CN" w:bidi="ar-SA"/>
        </w:rPr>
        <w:t xml:space="preserve">车辆维修档案</w:t>
      </w:r>
      <w:r>
        <w:rPr>
          <w:rFonts w:hint="eastAsia" w:ascii="宋体" w:hAnsi="宋体" w:eastAsia="宋体" w:cs="宋体"/>
          <w:color w:val="auto"/>
          <w:sz w:val="21"/>
          <w:szCs w:val="21"/>
          <w:highlight w:val="none"/>
          <w:lang w:val="en-US" w:eastAsia="zh-CN" w:bidi="ar-SA"/>
        </w:rPr>
        <w:t xml:space="preserve">记录方案</w:t>
      </w:r>
      <w:r>
        <w:rPr>
          <w:rFonts w:hint="eastAsia" w:ascii="宋体" w:hAnsi="宋体" w:eastAsia="宋体" w:cs="宋体"/>
          <w:color w:val="auto"/>
          <w:sz w:val="21"/>
          <w:szCs w:val="21"/>
          <w:highlight w:val="none"/>
          <w:lang w:val="en-US" w:eastAsia="zh-CN"/>
        </w:rPr>
        <w:t xml:space="preserve">⑤维修场地及设备安全管理方案⑥</w:t>
      </w:r>
      <w:r>
        <w:rPr>
          <w:rFonts w:hint="eastAsia" w:ascii="宋体" w:hAnsi="宋体" w:eastAsia="宋体" w:cs="宋体"/>
          <w:color w:val="auto"/>
          <w:sz w:val="21"/>
          <w:szCs w:val="21"/>
          <w:highlight w:val="none"/>
          <w:lang w:val="zh-CN" w:eastAsia="zh-CN" w:bidi="ar-SA"/>
        </w:rPr>
        <w:t xml:space="preserve">配件材料的进、出厂管理制度</w:t>
      </w:r>
      <w:r>
        <w:rPr>
          <w:rFonts w:hint="eastAsia" w:ascii="宋体" w:hAnsi="宋体" w:eastAsia="宋体" w:cs="宋体"/>
          <w:color w:val="auto"/>
          <w:sz w:val="21"/>
          <w:szCs w:val="21"/>
          <w:highlight w:val="none"/>
          <w:lang w:val="en-US" w:eastAsia="zh-CN"/>
        </w:rPr>
        <w:t xml:space="preserve">方案。内容针对本项目且符合本项目实际需求的满足一项得4分，最高24分。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3、服务响应时效便捷性方案（4分）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提供有针对性的响应方案，包含提供服务的</w:t>
      </w:r>
      <w:r>
        <w:rPr>
          <w:rFonts w:hint="eastAsia" w:ascii="宋体" w:hAnsi="宋体" w:eastAsia="宋体" w:cs="宋体"/>
          <w:color w:val="auto"/>
          <w:sz w:val="21"/>
          <w:szCs w:val="21"/>
          <w:highlight w:val="none"/>
          <w:lang w:eastAsia="zh-CN"/>
        </w:rPr>
        <w:t xml:space="preserve">响应时效</w:t>
      </w:r>
      <w:r>
        <w:rPr>
          <w:rFonts w:hint="eastAsia" w:ascii="宋体" w:hAnsi="宋体" w:eastAsia="宋体" w:cs="宋体"/>
          <w:color w:val="auto"/>
          <w:sz w:val="21"/>
          <w:szCs w:val="21"/>
          <w:highlight w:val="none"/>
        </w:rPr>
        <w:t xml:space="preserve">及服务便捷性说明及佐证材料等内容。根据各投标单位提供的服务</w:t>
      </w:r>
      <w:r>
        <w:rPr>
          <w:rFonts w:hint="eastAsia" w:ascii="宋体" w:hAnsi="宋体" w:eastAsia="宋体" w:cs="宋体"/>
          <w:color w:val="auto"/>
          <w:sz w:val="21"/>
          <w:szCs w:val="21"/>
          <w:highlight w:val="none"/>
          <w:lang w:eastAsia="zh-CN"/>
        </w:rPr>
        <w:t xml:space="preserve">响应时效</w:t>
      </w:r>
      <w:r>
        <w:rPr>
          <w:rFonts w:hint="eastAsia" w:ascii="宋体" w:hAnsi="宋体" w:eastAsia="宋体" w:cs="宋体"/>
          <w:color w:val="auto"/>
          <w:sz w:val="21"/>
          <w:szCs w:val="21"/>
          <w:highlight w:val="none"/>
        </w:rPr>
        <w:t xml:space="preserve">：服务便捷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服务响应时间</w:t>
      </w:r>
      <w:r>
        <w:rPr>
          <w:rFonts w:hint="eastAsia" w:ascii="宋体" w:hAnsi="宋体" w:eastAsia="宋体" w:cs="宋体"/>
          <w:color w:val="auto"/>
          <w:sz w:val="21"/>
          <w:szCs w:val="21"/>
          <w:highlight w:val="none"/>
          <w:lang w:val="en-US" w:eastAsia="zh-CN"/>
        </w:rPr>
        <w:t xml:space="preserve">在30分钟及以内得4</w:t>
      </w:r>
      <w:r>
        <w:rPr>
          <w:rFonts w:hint="eastAsia" w:ascii="宋体" w:hAnsi="宋体" w:eastAsia="宋体" w:cs="宋体"/>
          <w:color w:val="auto"/>
          <w:sz w:val="21"/>
          <w:szCs w:val="21"/>
          <w:highlight w:val="none"/>
        </w:rPr>
        <w:t xml:space="preserve">分；服务响应时间</w:t>
      </w:r>
      <w:r>
        <w:rPr>
          <w:rFonts w:hint="eastAsia" w:ascii="宋体" w:hAnsi="宋体" w:eastAsia="宋体" w:cs="宋体"/>
          <w:color w:val="auto"/>
          <w:sz w:val="21"/>
          <w:szCs w:val="21"/>
          <w:highlight w:val="none"/>
          <w:lang w:val="en-US" w:eastAsia="zh-CN"/>
        </w:rPr>
        <w:t xml:space="preserve">在30（不含）-</w:t>
      </w:r>
      <w:r>
        <w:rPr>
          <w:rFonts w:hint="eastAsia" w:ascii="宋体" w:hAnsi="宋体" w:cs="宋体"/>
          <w:color w:val="auto"/>
          <w:sz w:val="21"/>
          <w:szCs w:val="21"/>
          <w:highlight w:val="none"/>
          <w:lang w:val="en-US" w:eastAsia="zh-CN"/>
        </w:rPr>
        <w:t xml:space="preserve">60</w:t>
      </w:r>
      <w:r>
        <w:rPr>
          <w:rFonts w:hint="eastAsia" w:ascii="宋体" w:hAnsi="宋体" w:eastAsia="宋体" w:cs="宋体"/>
          <w:color w:val="auto"/>
          <w:sz w:val="21"/>
          <w:szCs w:val="21"/>
          <w:highlight w:val="none"/>
          <w:lang w:val="en-US" w:eastAsia="zh-CN"/>
        </w:rPr>
        <w:t xml:space="preserve">分钟</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分；不能满足服务要求</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响应时间无具体内容的不得分。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w:t>
      </w:r>
      <w:r>
        <w:rPr>
          <w:rFonts w:hint="eastAsia" w:ascii="宋体" w:hAnsi="宋体" w:eastAsia="宋体" w:cs="宋体"/>
          <w:color w:val="auto"/>
          <w:sz w:val="21"/>
          <w:szCs w:val="21"/>
          <w:highlight w:val="none"/>
          <w:lang w:eastAsia="zh-CN"/>
        </w:rPr>
        <w:t xml:space="preserve">响应时效根据</w:t>
      </w:r>
      <w:r>
        <w:rPr>
          <w:rFonts w:hint="eastAsia" w:ascii="宋体" w:hAnsi="宋体" w:eastAsia="宋体" w:cs="宋体"/>
          <w:color w:val="auto"/>
          <w:sz w:val="21"/>
          <w:szCs w:val="21"/>
          <w:highlight w:val="none"/>
        </w:rPr>
        <w:t xml:space="preserve">投标单位</w:t>
      </w:r>
      <w:r>
        <w:rPr>
          <w:rFonts w:hint="eastAsia" w:ascii="宋体" w:hAnsi="宋体" w:eastAsia="宋体" w:cs="宋体"/>
          <w:color w:val="auto"/>
          <w:sz w:val="21"/>
          <w:szCs w:val="21"/>
          <w:highlight w:val="none"/>
          <w:lang w:val="zh-CN"/>
        </w:rPr>
        <w:t xml:space="preserve">服务场所所在地</w:t>
      </w:r>
      <w:r>
        <w:rPr>
          <w:rFonts w:hint="eastAsia" w:ascii="宋体" w:hAnsi="宋体" w:eastAsia="宋体" w:cs="宋体"/>
          <w:color w:val="auto"/>
          <w:sz w:val="21"/>
          <w:szCs w:val="21"/>
          <w:highlight w:val="none"/>
        </w:rPr>
        <w:t xml:space="preserve">到项目</w:t>
      </w:r>
      <w:r>
        <w:rPr>
          <w:rFonts w:hint="eastAsia" w:ascii="宋体" w:hAnsi="宋体" w:eastAsia="宋体" w:cs="宋体"/>
          <w:color w:val="auto"/>
          <w:sz w:val="21"/>
          <w:szCs w:val="21"/>
          <w:highlight w:val="none"/>
          <w:lang w:eastAsia="zh-CN"/>
        </w:rPr>
        <w:t xml:space="preserve">服务地点</w:t>
      </w:r>
      <w:r>
        <w:rPr>
          <w:rFonts w:hint="eastAsia" w:ascii="宋体" w:hAnsi="宋体" w:eastAsia="宋体" w:cs="宋体"/>
          <w:b/>
          <w:bCs/>
          <w:color w:val="auto"/>
          <w:sz w:val="21"/>
          <w:szCs w:val="21"/>
          <w:highlight w:val="none"/>
          <w:lang w:eastAsia="zh-CN"/>
        </w:rPr>
        <w:t xml:space="preserve">（其中一标段服务</w:t>
      </w:r>
      <w:r>
        <w:rPr>
          <w:rFonts w:hint="eastAsia" w:ascii="宋体" w:hAnsi="宋体" w:eastAsia="宋体" w:cs="宋体"/>
          <w:b/>
          <w:bCs/>
          <w:color w:val="auto"/>
          <w:sz w:val="21"/>
          <w:szCs w:val="21"/>
          <w:highlight w:val="none"/>
        </w:rPr>
        <w:t xml:space="preserve">地点至太仓市浮桥镇中兴街18号附近，此处是太仓市港城环卫所停车基地，是此次采购中车辆最多的环卫所</w:t>
      </w:r>
      <w:r>
        <w:rPr>
          <w:rFonts w:hint="eastAsia" w:ascii="宋体" w:hAnsi="宋体" w:eastAsia="宋体" w:cs="宋体"/>
          <w:b/>
          <w:bCs/>
          <w:color w:val="auto"/>
          <w:sz w:val="21"/>
          <w:szCs w:val="21"/>
          <w:highlight w:val="none"/>
          <w:lang w:eastAsia="zh-CN"/>
        </w:rPr>
        <w:t xml:space="preserve">；二标段</w:t>
      </w:r>
      <w:r>
        <w:rPr>
          <w:rFonts w:hint="eastAsia" w:ascii="宋体" w:hAnsi="宋体" w:eastAsia="宋体" w:cs="宋体"/>
          <w:b/>
          <w:bCs/>
          <w:color w:val="auto"/>
          <w:sz w:val="21"/>
          <w:szCs w:val="21"/>
          <w:highlight w:val="none"/>
        </w:rPr>
        <w:t xml:space="preserve">服务地点至</w:t>
      </w:r>
      <w:r>
        <w:rPr>
          <w:rFonts w:hint="eastAsia" w:ascii="宋体" w:hAnsi="宋体" w:eastAsia="宋体" w:cs="宋体"/>
          <w:b/>
          <w:bCs/>
          <w:color w:val="auto"/>
          <w:sz w:val="21"/>
          <w:szCs w:val="21"/>
          <w:highlight w:val="none"/>
          <w:lang w:val="en-US" w:eastAsia="zh-CN"/>
        </w:rPr>
        <w:t xml:space="preserve">太仓市金浪环卫所停车基地</w:t>
      </w:r>
      <w:r>
        <w:rPr>
          <w:rFonts w:hint="eastAsia" w:ascii="宋体" w:hAnsi="宋体" w:eastAsia="宋体" w:cs="宋体"/>
          <w:b/>
          <w:bCs/>
          <w:color w:val="auto"/>
          <w:sz w:val="21"/>
          <w:szCs w:val="21"/>
          <w:highlight w:val="none"/>
          <w:lang w:eastAsia="zh-CN"/>
        </w:rPr>
        <w:t xml:space="preserve">）进行</w:t>
      </w:r>
      <w:r>
        <w:rPr>
          <w:rFonts w:hint="eastAsia" w:ascii="宋体" w:hAnsi="宋体" w:eastAsia="宋体" w:cs="宋体"/>
          <w:b/>
          <w:bCs/>
          <w:color w:val="auto"/>
          <w:sz w:val="21"/>
          <w:szCs w:val="21"/>
          <w:highlight w:val="none"/>
          <w:lang w:val="en-US" w:eastAsia="zh-CN"/>
        </w:rPr>
        <w:t xml:space="preserve">提供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color w:val="auto"/>
          <w:sz w:val="21"/>
          <w:szCs w:val="21"/>
          <w:highlight w:val="none"/>
        </w:rPr>
        <w:t xml:space="preserve">参考百度地图或同类导航软件的推荐路径</w:t>
      </w:r>
      <w:r>
        <w:rPr>
          <w:rFonts w:hint="eastAsia" w:ascii="宋体" w:hAnsi="宋体" w:eastAsia="宋体" w:cs="宋体"/>
          <w:color w:val="auto"/>
          <w:sz w:val="21"/>
          <w:szCs w:val="21"/>
          <w:highlight w:val="none"/>
          <w:lang w:eastAsia="zh-CN"/>
        </w:rPr>
        <w:t xml:space="preserve">及时间</w:t>
      </w:r>
      <w:r>
        <w:rPr>
          <w:rFonts w:hint="eastAsia" w:ascii="宋体" w:hAnsi="宋体" w:eastAsia="宋体" w:cs="宋体"/>
          <w:color w:val="auto"/>
          <w:sz w:val="21"/>
          <w:szCs w:val="21"/>
          <w:highlight w:val="none"/>
        </w:rPr>
        <w:t xml:space="preserve">为准，</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rPr>
        <w:t xml:space="preserve">文件中需提供查询截图或其它充分佐证材料。</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zh-CN" w:eastAsia="zh-CN" w:bidi="ar-SA"/>
        </w:rPr>
        <w:t xml:space="preserve">注：服务场所需为自有或租赁，若为自有服务场所的提供场所产权证明复印件；若为租赁的提供服务场所租赁合同及出租方产权证明复印件，租赁期限不得低于本项目服务期限要求。</w:t>
      </w:r>
      <w:r/>
    </w:p>
    <w:p>
      <w:pPr>
        <w:numPr>
          <w:ilvl w:val="0"/>
          <w:numId w:val="0"/>
        </w:numPr>
        <w:ind w:firstLine="422"/>
        <w:jc w:val="both"/>
        <w:keepLines w:val="0"/>
        <w:keepNext w:val="0"/>
        <w:pageBreakBefore w:val="0"/>
        <w:spacing w:line="360" w:lineRule="auto"/>
        <w:widowControl w:val="off"/>
        <w:rPr>
          <w:rFonts w:hint="eastAsia" w:ascii="宋体" w:hAnsi="宋体" w:eastAsia="宋体" w:cs="宋体"/>
          <w:color w:val="auto"/>
          <w:sz w:val="21"/>
          <w:szCs w:val="20"/>
          <w:highlight w:val="none"/>
          <w:lang w:val="en-US" w:eastAsia="zh-CN"/>
        </w:rPr>
      </w:pPr>
      <w:r>
        <w:rPr>
          <w:rFonts w:hint="eastAsia" w:ascii="宋体" w:hAnsi="宋体" w:eastAsia="宋体" w:cs="宋体"/>
          <w:b/>
          <w:color w:val="auto"/>
          <w:sz w:val="21"/>
          <w:szCs w:val="21"/>
          <w:highlight w:val="none"/>
          <w:lang w:val="en-US" w:eastAsia="zh-CN"/>
        </w:rPr>
        <w:t xml:space="preserve">（三）供应商综合情况：（28分）</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zh-CN" w:eastAsia="zh-CN"/>
        </w:rPr>
        <w:t xml:space="preserve">1、</w:t>
      </w:r>
      <w:r>
        <w:rPr>
          <w:rFonts w:hint="eastAsia" w:ascii="宋体" w:hAnsi="宋体" w:eastAsia="宋体" w:cs="宋体"/>
          <w:color w:val="auto"/>
          <w:sz w:val="21"/>
          <w:szCs w:val="24"/>
          <w:highlight w:val="none"/>
          <w:lang w:val="en-US" w:eastAsia="zh-CN"/>
        </w:rPr>
        <w:t xml:space="preserve">人员配备</w:t>
      </w:r>
      <w:r>
        <w:rPr>
          <w:rFonts w:hint="eastAsia" w:ascii="宋体" w:hAnsi="宋体" w:eastAsia="宋体" w:cs="宋体"/>
          <w:color w:val="auto"/>
          <w:sz w:val="21"/>
          <w:szCs w:val="24"/>
          <w:highlight w:val="none"/>
          <w:lang w:val="zh-CN" w:eastAsia="zh-CN"/>
        </w:rPr>
        <w:t xml:space="preserve">（</w:t>
      </w:r>
      <w:r>
        <w:rPr>
          <w:rFonts w:hint="eastAsia" w:ascii="宋体" w:hAnsi="宋体" w:eastAsia="宋体" w:cs="宋体"/>
          <w:color w:val="auto"/>
          <w:sz w:val="21"/>
          <w:szCs w:val="24"/>
          <w:highlight w:val="none"/>
          <w:lang w:val="en-US" w:eastAsia="zh-CN"/>
        </w:rPr>
        <w:t xml:space="preserve">9</w:t>
      </w:r>
      <w:r>
        <w:rPr>
          <w:rFonts w:hint="eastAsia" w:ascii="宋体" w:hAnsi="宋体" w:eastAsia="宋体" w:cs="宋体"/>
          <w:color w:val="auto"/>
          <w:sz w:val="21"/>
          <w:szCs w:val="24"/>
          <w:highlight w:val="none"/>
          <w:lang w:val="zh-CN" w:eastAsia="zh-CN"/>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val="en-US" w:eastAsia="zh-CN"/>
        </w:rPr>
        <w:t xml:space="preserve">响应单位拟投入本项目的人员中具有</w:t>
      </w:r>
      <w:r>
        <w:rPr>
          <w:rFonts w:hint="eastAsia" w:ascii="宋体" w:hAnsi="宋体" w:eastAsia="宋体" w:cs="宋体"/>
          <w:color w:val="auto"/>
          <w:sz w:val="21"/>
          <w:szCs w:val="21"/>
          <w:highlight w:val="none"/>
          <w:lang w:val="en-US" w:eastAsia="zh-CN"/>
        </w:rPr>
        <w:t xml:space="preserve">机</w:t>
      </w:r>
      <w:r>
        <w:rPr>
          <w:rFonts w:hint="eastAsia" w:ascii="宋体" w:hAnsi="宋体" w:eastAsia="宋体" w:cs="宋体"/>
          <w:color w:val="auto"/>
          <w:sz w:val="21"/>
          <w:szCs w:val="21"/>
          <w:highlight w:val="none"/>
        </w:rPr>
        <w:t xml:space="preserve">修工、钣金工、喷漆工</w:t>
      </w:r>
      <w:r>
        <w:rPr>
          <w:rFonts w:hint="eastAsia" w:ascii="宋体" w:hAnsi="宋体" w:cs="宋体"/>
          <w:color w:val="auto"/>
          <w:sz w:val="21"/>
          <w:szCs w:val="21"/>
          <w:highlight w:val="none"/>
          <w:lang w:val="en-US" w:eastAsia="zh-CN"/>
        </w:rPr>
        <w:t xml:space="preserve">技工证的</w:t>
      </w:r>
      <w:r>
        <w:rPr>
          <w:rFonts w:hint="eastAsia" w:ascii="宋体" w:hAnsi="宋体" w:eastAsia="宋体" w:cs="宋体"/>
          <w:color w:val="auto"/>
          <w:sz w:val="21"/>
          <w:szCs w:val="21"/>
          <w:highlight w:val="none"/>
          <w:lang w:val="en-US" w:eastAsia="zh-CN"/>
        </w:rPr>
        <w:t xml:space="preserve">，有一个得3分 最高9分</w:t>
      </w:r>
      <w:r>
        <w:rPr>
          <w:rFonts w:hint="eastAsia" w:ascii="宋体" w:hAnsi="宋体" w:eastAsia="宋体" w:cs="宋体"/>
          <w:color w:val="auto"/>
          <w:sz w:val="21"/>
          <w:szCs w:val="24"/>
          <w:highlight w:val="none"/>
          <w:lang w:val="en-US" w:eastAsia="zh-CN"/>
        </w:rPr>
        <w:t xml:space="preserve">。提供人员相关证书、身份证扫描件以及</w:t>
      </w:r>
      <w:r>
        <w:rPr>
          <w:rFonts w:hint="eastAsia" w:ascii="宋体" w:hAnsi="宋体" w:eastAsia="宋体" w:cs="宋体"/>
          <w:color w:val="auto"/>
          <w:sz w:val="21"/>
          <w:szCs w:val="20"/>
          <w:highlight w:val="none"/>
        </w:rPr>
        <w:t xml:space="preserve">投标截止时间前最近</w:t>
      </w:r>
      <w:r>
        <w:rPr>
          <w:rFonts w:hint="eastAsia" w:ascii="宋体" w:hAnsi="宋体" w:eastAsia="宋体" w:cs="宋体"/>
          <w:color w:val="auto"/>
          <w:sz w:val="21"/>
          <w:szCs w:val="20"/>
          <w:highlight w:val="none"/>
          <w:lang w:val="en-US" w:eastAsia="zh-CN"/>
        </w:rPr>
        <w:t xml:space="preserve">一</w:t>
      </w:r>
      <w:r>
        <w:rPr>
          <w:rFonts w:hint="eastAsia" w:ascii="宋体" w:hAnsi="宋体" w:eastAsia="宋体" w:cs="宋体"/>
          <w:color w:val="auto"/>
          <w:sz w:val="21"/>
          <w:szCs w:val="20"/>
          <w:highlight w:val="none"/>
        </w:rPr>
        <w:t xml:space="preserve">个月供应商为其缴纳的社保证明</w:t>
      </w:r>
      <w:r>
        <w:rPr>
          <w:rFonts w:hint="eastAsia" w:ascii="宋体" w:hAnsi="宋体" w:eastAsia="宋体" w:cs="宋体"/>
          <w:color w:val="auto"/>
          <w:sz w:val="21"/>
          <w:szCs w:val="20"/>
          <w:highlight w:val="none"/>
          <w:lang w:val="en-US" w:eastAsia="zh-CN"/>
        </w:rPr>
        <w:t xml:space="preserve">扫描件。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zh-CN" w:eastAsia="zh-CN"/>
        </w:rPr>
        <w:t xml:space="preserve">2、类似业绩（</w:t>
      </w:r>
      <w:r>
        <w:rPr>
          <w:rFonts w:hint="eastAsia" w:ascii="宋体" w:hAnsi="宋体" w:eastAsia="宋体" w:cs="宋体"/>
          <w:color w:val="auto"/>
          <w:sz w:val="21"/>
          <w:szCs w:val="24"/>
          <w:highlight w:val="none"/>
          <w:lang w:val="en-US" w:eastAsia="zh-CN"/>
        </w:rPr>
        <w:t xml:space="preserve">8</w:t>
      </w:r>
      <w:r>
        <w:rPr>
          <w:rFonts w:hint="eastAsia" w:ascii="宋体" w:hAnsi="宋体" w:eastAsia="宋体" w:cs="宋体"/>
          <w:color w:val="auto"/>
          <w:sz w:val="21"/>
          <w:szCs w:val="24"/>
          <w:highlight w:val="none"/>
          <w:lang w:val="zh-CN" w:eastAsia="zh-CN"/>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en-US" w:eastAsia="zh-CN"/>
        </w:rPr>
        <w:t xml:space="preserve">响应单位</w:t>
      </w:r>
      <w:r>
        <w:rPr>
          <w:rFonts w:hint="eastAsia" w:ascii="宋体" w:hAnsi="宋体" w:eastAsia="宋体" w:cs="宋体"/>
          <w:color w:val="auto"/>
          <w:sz w:val="21"/>
          <w:szCs w:val="24"/>
          <w:highlight w:val="none"/>
          <w:lang w:val="zh-CN" w:eastAsia="zh-CN"/>
        </w:rPr>
        <w:t xml:space="preserve">具有202</w:t>
      </w: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lang w:val="zh-CN" w:eastAsia="zh-CN"/>
        </w:rPr>
        <w:t xml:space="preserve">年0</w:t>
      </w:r>
      <w:r>
        <w:rPr>
          <w:rFonts w:hint="eastAsia" w:ascii="宋体" w:hAnsi="宋体" w:eastAsia="宋体" w:cs="宋体"/>
          <w:color w:val="auto"/>
          <w:sz w:val="21"/>
          <w:szCs w:val="24"/>
          <w:highlight w:val="none"/>
          <w:lang w:val="en-US" w:eastAsia="zh-CN"/>
        </w:rPr>
        <w:t xml:space="preserve">4</w:t>
      </w:r>
      <w:r>
        <w:rPr>
          <w:rFonts w:hint="eastAsia" w:ascii="宋体" w:hAnsi="宋体" w:eastAsia="宋体" w:cs="宋体"/>
          <w:color w:val="auto"/>
          <w:sz w:val="21"/>
          <w:szCs w:val="24"/>
          <w:highlight w:val="none"/>
          <w:lang w:val="zh-CN" w:eastAsia="zh-CN"/>
        </w:rPr>
        <w:t xml:space="preserve">月至今车辆维修服务的类似业绩，每有1个</w:t>
      </w:r>
      <w:r>
        <w:rPr>
          <w:rFonts w:hint="eastAsia" w:ascii="宋体" w:hAnsi="宋体" w:eastAsia="宋体" w:cs="宋体"/>
          <w:color w:val="auto"/>
          <w:sz w:val="21"/>
          <w:szCs w:val="24"/>
          <w:highlight w:val="none"/>
          <w:lang w:val="en-US" w:eastAsia="zh-CN"/>
        </w:rPr>
        <w:t xml:space="preserve">得2</w:t>
      </w:r>
      <w:r>
        <w:rPr>
          <w:rFonts w:hint="eastAsia" w:ascii="宋体" w:hAnsi="宋体" w:eastAsia="宋体" w:cs="宋体"/>
          <w:color w:val="auto"/>
          <w:sz w:val="21"/>
          <w:szCs w:val="24"/>
          <w:highlight w:val="none"/>
          <w:lang w:val="zh-CN" w:eastAsia="zh-CN"/>
        </w:rPr>
        <w:t xml:space="preserve">分，</w:t>
      </w:r>
      <w:r>
        <w:rPr>
          <w:rFonts w:hint="eastAsia" w:ascii="宋体" w:hAnsi="宋体" w:eastAsia="宋体" w:cs="宋体"/>
          <w:color w:val="auto"/>
          <w:sz w:val="21"/>
          <w:szCs w:val="24"/>
          <w:highlight w:val="none"/>
          <w:lang w:val="en-US" w:eastAsia="zh-CN"/>
        </w:rPr>
        <w:t xml:space="preserve">本项</w:t>
      </w:r>
      <w:r>
        <w:rPr>
          <w:rFonts w:hint="eastAsia" w:ascii="宋体" w:hAnsi="宋体" w:eastAsia="宋体" w:cs="宋体"/>
          <w:color w:val="auto"/>
          <w:sz w:val="21"/>
          <w:szCs w:val="24"/>
          <w:highlight w:val="none"/>
          <w:lang w:val="zh-CN" w:eastAsia="zh-CN"/>
        </w:rPr>
        <w:t xml:space="preserve">最高得</w:t>
      </w:r>
      <w:r>
        <w:rPr>
          <w:rFonts w:hint="eastAsia" w:ascii="宋体" w:hAnsi="宋体" w:eastAsia="宋体" w:cs="宋体"/>
          <w:color w:val="auto"/>
          <w:sz w:val="21"/>
          <w:szCs w:val="24"/>
          <w:highlight w:val="none"/>
          <w:lang w:val="en-US" w:eastAsia="zh-CN"/>
        </w:rPr>
        <w:t xml:space="preserve">8</w:t>
      </w:r>
      <w:r>
        <w:rPr>
          <w:rFonts w:hint="eastAsia" w:ascii="宋体" w:hAnsi="宋体" w:eastAsia="宋体" w:cs="宋体"/>
          <w:color w:val="auto"/>
          <w:sz w:val="21"/>
          <w:szCs w:val="24"/>
          <w:highlight w:val="none"/>
          <w:lang w:val="zh-CN" w:eastAsia="zh-CN"/>
        </w:rPr>
        <w:t xml:space="preserve">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zh-CN" w:eastAsia="zh-CN"/>
        </w:rPr>
        <w:t xml:space="preserve">注：投标文件中需提供业绩合同</w:t>
      </w:r>
      <w:r>
        <w:rPr>
          <w:rFonts w:hint="eastAsia" w:ascii="宋体" w:hAnsi="宋体" w:eastAsia="宋体" w:cs="宋体"/>
          <w:color w:val="auto"/>
          <w:sz w:val="21"/>
          <w:szCs w:val="24"/>
          <w:highlight w:val="none"/>
          <w:lang w:val="en-US" w:eastAsia="zh-CN"/>
        </w:rPr>
        <w:t xml:space="preserve">扫描件，否则不得分</w:t>
      </w:r>
      <w:r>
        <w:rPr>
          <w:rFonts w:hint="eastAsia" w:ascii="宋体" w:hAnsi="宋体" w:eastAsia="宋体" w:cs="宋体"/>
          <w:color w:val="auto"/>
          <w:sz w:val="21"/>
          <w:szCs w:val="24"/>
          <w:highlight w:val="none"/>
          <w:lang w:val="zh-CN"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zh-CN" w:eastAsia="zh-CN"/>
        </w:rPr>
        <w:t xml:space="preserve">3、服务维修场地（6分）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en-US" w:eastAsia="zh-CN"/>
        </w:rPr>
        <w:t xml:space="preserve">响应单位在经营场地内每具有</w:t>
      </w:r>
      <w:r>
        <w:rPr>
          <w:rFonts w:hint="eastAsia" w:ascii="宋体" w:hAnsi="宋体" w:eastAsia="宋体" w:cs="宋体"/>
          <w:color w:val="auto"/>
          <w:sz w:val="21"/>
          <w:szCs w:val="24"/>
          <w:highlight w:val="none"/>
          <w:lang w:val="zh-CN" w:eastAsia="zh-CN"/>
        </w:rPr>
        <w:t xml:space="preserve">一个</w:t>
      </w:r>
      <w:r>
        <w:rPr>
          <w:rFonts w:hint="eastAsia" w:ascii="宋体" w:hAnsi="宋体" w:eastAsia="宋体" w:cs="宋体"/>
          <w:color w:val="auto"/>
          <w:sz w:val="21"/>
          <w:szCs w:val="24"/>
          <w:highlight w:val="none"/>
          <w:lang w:val="en-US" w:eastAsia="zh-CN"/>
        </w:rPr>
        <w:t xml:space="preserve">专用</w:t>
      </w:r>
      <w:r>
        <w:rPr>
          <w:rFonts w:hint="eastAsia" w:ascii="宋体" w:hAnsi="宋体" w:eastAsia="宋体" w:cs="宋体"/>
          <w:color w:val="auto"/>
          <w:sz w:val="21"/>
          <w:szCs w:val="24"/>
          <w:highlight w:val="none"/>
          <w:lang w:val="zh-CN" w:eastAsia="zh-CN"/>
        </w:rPr>
        <w:t xml:space="preserve">维修工位加1分，最高得6分。（注：</w:t>
      </w:r>
      <w:r>
        <w:rPr>
          <w:rFonts w:hint="eastAsia" w:ascii="宋体" w:hAnsi="宋体" w:eastAsia="宋体" w:cs="宋体"/>
          <w:color w:val="auto"/>
          <w:sz w:val="21"/>
          <w:szCs w:val="24"/>
          <w:highlight w:val="none"/>
          <w:lang w:val="en-US" w:eastAsia="zh-CN"/>
        </w:rPr>
        <w:t xml:space="preserve">投标单位需</w:t>
      </w:r>
      <w:r>
        <w:rPr>
          <w:rFonts w:hint="eastAsia" w:ascii="宋体" w:hAnsi="宋体" w:eastAsia="宋体" w:cs="宋体"/>
          <w:color w:val="auto"/>
          <w:sz w:val="21"/>
          <w:szCs w:val="24"/>
          <w:highlight w:val="none"/>
          <w:lang w:val="zh-CN" w:eastAsia="zh-CN"/>
        </w:rPr>
        <w:t xml:space="preserve">提供</w:t>
      </w:r>
      <w:r>
        <w:rPr>
          <w:rFonts w:hint="eastAsia" w:ascii="宋体" w:hAnsi="宋体" w:eastAsia="宋体" w:cs="宋体"/>
          <w:color w:val="auto"/>
          <w:sz w:val="21"/>
          <w:szCs w:val="24"/>
          <w:highlight w:val="none"/>
          <w:lang w:val="en-US" w:eastAsia="zh-CN"/>
        </w:rPr>
        <w:t xml:space="preserve">场地布局图或现场图片，图片须能反映场地实际情况，能看清楚维修工位数量</w:t>
      </w:r>
      <w:r>
        <w:rPr>
          <w:rFonts w:hint="eastAsia" w:ascii="宋体" w:hAnsi="宋体" w:eastAsia="宋体" w:cs="宋体"/>
          <w:color w:val="auto"/>
          <w:sz w:val="21"/>
          <w:szCs w:val="24"/>
          <w:highlight w:val="none"/>
          <w:lang w:val="zh-CN" w:eastAsia="zh-CN"/>
        </w:rPr>
        <w:t xml:space="preserve">；需提供维修工位所在场地的产权证明或租赁合同扫描件。场地若为租赁则租赁期限不得低于本项目服务期限要求；未提供证明材料的不得分。）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lang w:val="zh-CN" w:eastAsia="zh-CN"/>
        </w:rPr>
      </w:pPr>
      <w:r>
        <w:rPr>
          <w:rFonts w:hint="eastAsia" w:ascii="宋体" w:hAnsi="宋体" w:eastAsia="宋体" w:cs="宋体"/>
          <w:color w:val="auto"/>
          <w:sz w:val="21"/>
          <w:szCs w:val="24"/>
          <w:highlight w:val="none"/>
          <w:lang w:val="en-US" w:eastAsia="zh-CN"/>
        </w:rPr>
        <w:t xml:space="preserve">4、</w:t>
      </w:r>
      <w:r>
        <w:rPr>
          <w:rFonts w:hint="eastAsia" w:ascii="宋体" w:hAnsi="宋体" w:eastAsia="宋体" w:cs="宋体"/>
          <w:color w:val="auto"/>
          <w:sz w:val="21"/>
          <w:szCs w:val="24"/>
          <w:highlight w:val="none"/>
          <w:lang w:val="zh-CN" w:eastAsia="zh-CN"/>
        </w:rPr>
        <w:t xml:space="preserve">停车位（</w:t>
      </w:r>
      <w:r>
        <w:rPr>
          <w:rFonts w:hint="eastAsia" w:ascii="宋体" w:hAnsi="宋体" w:eastAsia="宋体" w:cs="宋体"/>
          <w:color w:val="auto"/>
          <w:sz w:val="21"/>
          <w:szCs w:val="24"/>
          <w:highlight w:val="none"/>
          <w:lang w:val="en-US" w:eastAsia="zh-CN"/>
        </w:rPr>
        <w:t xml:space="preserve">5</w:t>
      </w:r>
      <w:r>
        <w:rPr>
          <w:rFonts w:hint="eastAsia" w:ascii="宋体" w:hAnsi="宋体" w:eastAsia="宋体" w:cs="宋体"/>
          <w:color w:val="auto"/>
          <w:sz w:val="21"/>
          <w:szCs w:val="24"/>
          <w:highlight w:val="none"/>
          <w:lang w:val="zh-CN" w:eastAsia="zh-CN"/>
        </w:rPr>
        <w:t xml:space="preserve">分）</w:t>
      </w:r>
      <w:r/>
    </w:p>
    <w:p>
      <w:pPr>
        <w:ind w:firstLine="420"/>
        <w:jc w:val="both"/>
        <w:keepLines w:val="0"/>
        <w:keepNext w:val="0"/>
        <w:pageBreakBefore w:val="0"/>
        <w:spacing w:line="360" w:lineRule="auto"/>
        <w:widowControl w:val="off"/>
        <w:rPr>
          <w:rFonts w:hint="eastAsia" w:ascii="Times New Roman" w:hAnsi="Times New Roman" w:eastAsia="宋体" w:cs="宋体"/>
          <w:color w:val="auto"/>
          <w:sz w:val="21"/>
          <w:szCs w:val="24"/>
          <w:highlight w:val="none"/>
          <w:lang w:val="zh-CN" w:eastAsia="zh-CN"/>
        </w:rPr>
      </w:pPr>
      <w:r>
        <w:rPr>
          <w:rFonts w:hint="eastAsia" w:ascii="宋体" w:hAnsi="宋体" w:eastAsia="宋体" w:cs="宋体"/>
          <w:color w:val="auto"/>
          <w:sz w:val="21"/>
          <w:szCs w:val="24"/>
          <w:highlight w:val="none"/>
          <w:lang w:val="zh-CN" w:eastAsia="zh-CN"/>
        </w:rPr>
        <w:t xml:space="preserve">响应单位在经营场地内具有</w:t>
      </w:r>
      <w:r>
        <w:rPr>
          <w:rFonts w:hint="eastAsia" w:ascii="宋体" w:hAnsi="宋体" w:eastAsia="宋体" w:cs="宋体"/>
          <w:color w:val="auto"/>
          <w:sz w:val="21"/>
          <w:szCs w:val="24"/>
          <w:highlight w:val="none"/>
          <w:lang w:val="en-US" w:eastAsia="zh-CN"/>
        </w:rPr>
        <w:t xml:space="preserve">1</w:t>
      </w:r>
      <w:r>
        <w:rPr>
          <w:rFonts w:hint="eastAsia" w:ascii="宋体" w:hAnsi="宋体" w:eastAsia="宋体" w:cs="宋体"/>
          <w:color w:val="auto"/>
          <w:sz w:val="21"/>
          <w:szCs w:val="24"/>
          <w:highlight w:val="none"/>
          <w:lang w:val="zh-CN" w:eastAsia="zh-CN"/>
        </w:rPr>
        <w:t xml:space="preserve">个停车位的得</w:t>
      </w:r>
      <w:r>
        <w:rPr>
          <w:rFonts w:hint="eastAsia" w:ascii="宋体" w:hAnsi="宋体" w:eastAsia="宋体" w:cs="宋体"/>
          <w:color w:val="auto"/>
          <w:sz w:val="21"/>
          <w:szCs w:val="24"/>
          <w:highlight w:val="none"/>
          <w:lang w:val="en-US" w:eastAsia="zh-CN"/>
        </w:rPr>
        <w:t xml:space="preserve">0.5</w:t>
      </w:r>
      <w:r>
        <w:rPr>
          <w:rFonts w:hint="eastAsia" w:ascii="宋体" w:hAnsi="宋体" w:eastAsia="宋体" w:cs="宋体"/>
          <w:color w:val="auto"/>
          <w:sz w:val="21"/>
          <w:szCs w:val="24"/>
          <w:highlight w:val="none"/>
          <w:lang w:val="zh-CN" w:eastAsia="zh-CN"/>
        </w:rPr>
        <w:t xml:space="preserve">分</w:t>
      </w:r>
      <w:r>
        <w:rPr>
          <w:rFonts w:hint="eastAsia" w:ascii="宋体" w:hAnsi="宋体" w:eastAsia="宋体" w:cs="宋体"/>
          <w:color w:val="auto"/>
          <w:sz w:val="21"/>
          <w:szCs w:val="24"/>
          <w:highlight w:val="none"/>
          <w:lang w:val="en-US" w:eastAsia="zh-CN"/>
        </w:rPr>
        <w:t xml:space="preserve">，本项</w:t>
      </w:r>
      <w:r>
        <w:rPr>
          <w:rFonts w:hint="eastAsia" w:ascii="宋体" w:hAnsi="宋体" w:eastAsia="宋体" w:cs="宋体"/>
          <w:color w:val="auto"/>
          <w:sz w:val="21"/>
          <w:szCs w:val="24"/>
          <w:highlight w:val="none"/>
          <w:lang w:val="zh-CN" w:eastAsia="zh-CN"/>
        </w:rPr>
        <w:t xml:space="preserve">最高得</w:t>
      </w:r>
      <w:r>
        <w:rPr>
          <w:rFonts w:hint="eastAsia" w:ascii="宋体" w:hAnsi="宋体" w:eastAsia="宋体" w:cs="宋体"/>
          <w:color w:val="auto"/>
          <w:sz w:val="21"/>
          <w:szCs w:val="24"/>
          <w:highlight w:val="none"/>
          <w:lang w:val="en-US" w:eastAsia="zh-CN"/>
        </w:rPr>
        <w:t xml:space="preserve">5</w:t>
      </w:r>
      <w:r>
        <w:rPr>
          <w:rFonts w:hint="eastAsia" w:ascii="宋体" w:hAnsi="宋体" w:eastAsia="宋体" w:cs="宋体"/>
          <w:color w:val="auto"/>
          <w:sz w:val="21"/>
          <w:szCs w:val="24"/>
          <w:highlight w:val="none"/>
          <w:lang w:val="zh-CN" w:eastAsia="zh-CN"/>
        </w:rPr>
        <w:t xml:space="preserve">分。（注：停车位需为自有或租赁，若为自有经营场所的提供经营场所产权证明复印件；若为租赁的提供停车位租赁合同及出租方产权证明复印件，租赁期限不得低于本项目服务期限要求；未提供证明材料的不得分。）</w:t>
      </w:r>
      <w:r/>
    </w:p>
    <w:p>
      <w:pPr>
        <w:pStyle w:val="1015"/>
        <w:ind w:firstLine="422"/>
        <w:spacing w:line="360" w:lineRule="auto"/>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3、所有要求提供的扫描件字迹须清晰可见,扫描不全或字迹不清晰的，视为未提供。</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90"/>
          <w:rFonts w:ascii="宋体" w:hAnsi="宋体" w:eastAsia="宋体" w:cs="宋体"/>
          <w:color w:val="auto"/>
          <w:sz w:val="32"/>
          <w:szCs w:val="32"/>
          <w:highlight w:val="none"/>
        </w:rPr>
      </w:pPr>
      <w:r>
        <w:rPr>
          <w:rStyle w:val="990"/>
          <w:rFonts w:hint="eastAsia" w:ascii="宋体" w:hAnsi="宋体" w:eastAsia="宋体" w:cs="宋体"/>
          <w:color w:val="auto"/>
          <w:sz w:val="32"/>
          <w:szCs w:val="32"/>
          <w:highlight w:val="none"/>
        </w:rPr>
        <w:br w:type="page" w:clear="all"/>
      </w:r>
      <w:bookmarkStart w:id="25" w:name="_Toc31315"/>
      <w:r>
        <w:rPr>
          <w:rStyle w:val="990"/>
          <w:rFonts w:hint="eastAsia" w:ascii="宋体" w:hAnsi="宋体" w:eastAsia="宋体" w:cs="宋体"/>
          <w:color w:val="auto"/>
          <w:sz w:val="32"/>
          <w:szCs w:val="32"/>
          <w:highlight w:val="none"/>
        </w:rPr>
        <w:t xml:space="preserve">第六章 合同格式</w:t>
      </w:r>
      <w:bookmarkEnd w:id="25"/>
      <w:r/>
      <w:r/>
    </w:p>
    <w:p>
      <w:pPr>
        <w:widowControl w:val="off"/>
        <w:rPr>
          <w:rFonts w:hint="default" w:ascii="宋体" w:hAnsi="Times New Roman" w:eastAsia="宋体" w:cs="宋体"/>
          <w:color w:val="auto"/>
          <w:sz w:val="24"/>
          <w:szCs w:val="24"/>
          <w:highlight w:val="none"/>
          <w:u w:val="single"/>
        </w:rPr>
      </w:pPr>
      <w:r/>
      <w:bookmarkStart w:id="26" w:name="_Toc480191160"/>
      <w:r/>
      <w:bookmarkStart w:id="27" w:name="_Toc479449569"/>
      <w:r/>
      <w:bookmarkStart w:id="28" w:name="_Toc479449483"/>
      <w:r>
        <w:rPr>
          <w:rFonts w:hint="eastAsia" w:ascii="宋体" w:hAnsi="Times New Roman" w:eastAsia="宋体" w:cs="宋体"/>
          <w:color w:val="auto"/>
          <w:sz w:val="24"/>
          <w:szCs w:val="24"/>
          <w:highlight w:val="none"/>
        </w:rPr>
        <w:t xml:space="preserve">合同编号：</w:t>
      </w:r>
      <w:r>
        <w:rPr>
          <w:rFonts w:hint="default" w:ascii="宋体" w:hAnsi="Times New Roman" w:eastAsia="宋体" w:cs="宋体"/>
          <w:color w:val="auto"/>
          <w:sz w:val="24"/>
          <w:szCs w:val="24"/>
          <w:highlight w:val="none"/>
          <w:u w:val="single"/>
        </w:rPr>
        <w:t xml:space="preserve">        </w:t>
      </w:r>
      <w:r>
        <w:rPr>
          <w:rFonts w:hint="eastAsia" w:ascii="宋体" w:hAnsi="Times New Roman" w:eastAsia="宋体" w:cs="宋体"/>
          <w:color w:val="auto"/>
          <w:sz w:val="24"/>
          <w:szCs w:val="24"/>
          <w:highlight w:val="none"/>
          <w:u w:val="single"/>
        </w:rPr>
        <w:t xml:space="preserve">   </w:t>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24"/>
          <w:szCs w:val="28"/>
          <w:highlight w:val="none"/>
        </w:rPr>
      </w:pPr>
      <w:r>
        <w:rPr>
          <w:rFonts w:hint="default" w:ascii="宋体" w:hAnsi="Times New Roman" w:eastAsia="宋体" w:cs="宋体"/>
          <w:b/>
          <w:color w:val="auto"/>
          <w:sz w:val="24"/>
          <w:szCs w:val="28"/>
          <w:highlight w:val="none"/>
        </w:rPr>
      </w:r>
      <w:r/>
    </w:p>
    <w:p>
      <w:pPr>
        <w:jc w:val="center"/>
        <w:spacing w:line="480" w:lineRule="auto"/>
        <w:widowControl w:val="off"/>
        <w:rPr>
          <w:rFonts w:hint="default" w:ascii="宋体" w:hAnsi="Times New Roman" w:eastAsia="宋体" w:cs="宋体"/>
          <w:b/>
          <w:color w:val="auto"/>
          <w:sz w:val="72"/>
          <w:szCs w:val="72"/>
          <w:highlight w:val="none"/>
        </w:rPr>
      </w:pPr>
      <w:r>
        <w:rPr>
          <w:rFonts w:hint="default" w:ascii="宋体" w:hAnsi="Times New Roman" w:eastAsia="宋体" w:cs="宋体"/>
          <w:b/>
          <w:color w:val="auto"/>
          <w:sz w:val="72"/>
          <w:szCs w:val="72"/>
          <w:highlight w:val="none"/>
        </w:rPr>
        <w:t xml:space="preserve">政府采购合同</w:t>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spacing w:before="120" w:line="22" w:lineRule="atLeast"/>
        <w:widowControl w:val="off"/>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r>
      <w:r/>
    </w:p>
    <w:p>
      <w:pPr>
        <w:ind w:left="1430"/>
        <w:spacing w:before="120" w:line="360" w:lineRule="auto"/>
        <w:widowControl w:val="off"/>
        <w:rPr>
          <w:rFonts w:hint="default" w:ascii="宋体" w:hAnsi="Times New Roman" w:eastAsia="宋体" w:cs="宋体"/>
          <w:color w:val="auto"/>
          <w:sz w:val="28"/>
          <w:szCs w:val="28"/>
          <w:highlight w:val="none"/>
        </w:rPr>
      </w:pPr>
      <w:r>
        <w:rPr>
          <w:rFonts w:hint="eastAsia" w:ascii="宋体" w:hAnsi="Times New Roman" w:eastAsia="宋体" w:cs="宋体"/>
          <w:color w:val="auto"/>
          <w:sz w:val="28"/>
          <w:szCs w:val="28"/>
          <w:highlight w:val="none"/>
        </w:rPr>
        <w:t xml:space="preserve">项目名称：</w:t>
      </w:r>
      <w:r>
        <w:rPr>
          <w:rFonts w:hint="default" w:ascii="宋体" w:hAnsi="Times New Roman" w:eastAsia="宋体" w:cs="宋体"/>
          <w:color w:val="auto"/>
          <w:sz w:val="28"/>
          <w:szCs w:val="28"/>
          <w:highlight w:val="none"/>
        </w:rPr>
        <w:t xml:space="preserve"> </w:t>
      </w:r>
      <w:r/>
    </w:p>
    <w:p>
      <w:pPr>
        <w:ind w:left="1430"/>
        <w:spacing w:before="120" w:line="360" w:lineRule="auto"/>
        <w:widowControl w:val="off"/>
        <w:rPr>
          <w:rFonts w:hint="default" w:ascii="宋体" w:hAnsi="Times New Roman" w:eastAsia="宋体" w:cs="宋体"/>
          <w:color w:val="auto"/>
          <w:sz w:val="28"/>
          <w:szCs w:val="28"/>
          <w:highlight w:val="none"/>
        </w:rPr>
      </w:pPr>
      <w:r>
        <w:rPr>
          <w:rFonts w:hint="default" w:ascii="宋体" w:hAnsi="Times New Roman" w:eastAsia="宋体" w:cs="宋体"/>
          <w:color w:val="auto"/>
          <w:sz w:val="28"/>
          <w:szCs w:val="28"/>
          <w:highlight w:val="none"/>
        </w:rPr>
      </w:r>
      <w:r/>
    </w:p>
    <w:p>
      <w:pPr>
        <w:ind w:left="1430"/>
        <w:spacing w:before="120" w:line="360" w:lineRule="auto"/>
        <w:widowControl w:val="off"/>
        <w:rPr>
          <w:rFonts w:hint="default" w:ascii="宋体" w:hAnsi="Times New Roman" w:eastAsia="宋体" w:cs="宋体"/>
          <w:color w:val="auto"/>
          <w:sz w:val="28"/>
          <w:szCs w:val="28"/>
          <w:highlight w:val="none"/>
        </w:rPr>
      </w:pPr>
      <w:r>
        <w:rPr>
          <w:rFonts w:hint="default" w:ascii="宋体" w:hAnsi="Times New Roman" w:eastAsia="宋体" w:cs="宋体"/>
          <w:color w:val="auto"/>
          <w:sz w:val="28"/>
          <w:szCs w:val="28"/>
          <w:highlight w:val="none"/>
        </w:rPr>
      </w:r>
      <w:r/>
    </w:p>
    <w:p>
      <w:pPr>
        <w:ind w:left="1430"/>
        <w:spacing w:before="120" w:line="360" w:lineRule="auto"/>
        <w:widowControl w:val="off"/>
        <w:rPr>
          <w:rFonts w:hint="eastAsia" w:ascii="宋体" w:hAnsi="Times New Roman" w:eastAsia="宋体" w:cs="宋体"/>
          <w:color w:val="auto"/>
          <w:sz w:val="28"/>
          <w:szCs w:val="28"/>
          <w:highlight w:val="none"/>
          <w:u w:val="single"/>
          <w:lang w:eastAsia="zh-CN"/>
        </w:rPr>
      </w:pPr>
      <w:r>
        <w:rPr>
          <w:rFonts w:hint="eastAsia" w:ascii="宋体" w:hAnsi="Times New Roman" w:eastAsia="宋体" w:cs="宋体"/>
          <w:color w:val="auto"/>
          <w:sz w:val="28"/>
          <w:szCs w:val="28"/>
          <w:highlight w:val="none"/>
        </w:rPr>
        <w:t xml:space="preserve">甲方：</w:t>
      </w:r>
      <w:r>
        <w:rPr>
          <w:rFonts w:hint="eastAsia" w:ascii="宋体" w:cs="宋体"/>
          <w:color w:val="auto"/>
          <w:sz w:val="28"/>
          <w:szCs w:val="28"/>
          <w:highlight w:val="none"/>
          <w:u w:val="single"/>
          <w:lang w:eastAsia="zh-CN"/>
        </w:rPr>
        <w:t xml:space="preserve">太仓市浮桥镇人民政府</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乙方：</w:t>
      </w:r>
      <w:r>
        <w:rPr>
          <w:rFonts w:hint="eastAsia" w:ascii="宋体" w:hAnsi="Times New Roman" w:eastAsia="宋体" w:cs="宋体"/>
          <w:color w:val="auto"/>
          <w:sz w:val="28"/>
          <w:szCs w:val="28"/>
          <w:highlight w:val="none"/>
          <w:u w:val="single"/>
        </w:rPr>
        <w:t xml:space="preserve"> </w:t>
      </w:r>
      <w:r>
        <w:rPr>
          <w:rFonts w:hint="default" w:ascii="宋体" w:hAnsi="Times New Roman" w:eastAsia="宋体" w:cs="宋体"/>
          <w:color w:val="auto"/>
          <w:sz w:val="28"/>
          <w:szCs w:val="28"/>
          <w:highlight w:val="none"/>
          <w:u w:val="single"/>
        </w:rPr>
        <w:t xml:space="preserve">                      </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签订地：</w:t>
      </w:r>
      <w:r>
        <w:rPr>
          <w:rFonts w:hint="eastAsia" w:ascii="宋体" w:hAnsi="Times New Roman" w:eastAsia="宋体" w:cs="宋体"/>
          <w:color w:val="auto"/>
          <w:sz w:val="28"/>
          <w:szCs w:val="28"/>
          <w:highlight w:val="none"/>
          <w:u w:val="single"/>
        </w:rPr>
        <w:t xml:space="preserve">太仓市</w:t>
      </w:r>
      <w:r/>
    </w:p>
    <w:p>
      <w:pPr>
        <w:ind w:left="1430"/>
        <w:spacing w:before="120" w:line="360" w:lineRule="auto"/>
        <w:widowControl w:val="off"/>
        <w:rPr>
          <w:rFonts w:hint="default" w:ascii="宋体" w:hAnsi="Times New Roman" w:eastAsia="宋体" w:cs="宋体"/>
          <w:color w:val="auto"/>
          <w:sz w:val="28"/>
          <w:szCs w:val="28"/>
          <w:highlight w:val="none"/>
          <w:u w:val="single"/>
        </w:rPr>
      </w:pPr>
      <w:r>
        <w:rPr>
          <w:rFonts w:hint="eastAsia" w:ascii="宋体" w:hAnsi="Times New Roman" w:eastAsia="宋体" w:cs="宋体"/>
          <w:color w:val="auto"/>
          <w:sz w:val="28"/>
          <w:szCs w:val="28"/>
          <w:highlight w:val="none"/>
        </w:rPr>
        <w:t xml:space="preserve">签订日期：</w:t>
      </w:r>
      <w:r>
        <w:rPr>
          <w:rFonts w:hint="default" w:ascii="宋体" w:hAnsi="Times New Roman" w:eastAsia="宋体" w:cs="宋体"/>
          <w:color w:val="auto"/>
          <w:sz w:val="28"/>
          <w:szCs w:val="28"/>
          <w:highlight w:val="none"/>
          <w:u w:val="single"/>
        </w:rPr>
        <w:t xml:space="preserve">202</w:t>
      </w:r>
      <w:r>
        <w:rPr>
          <w:rFonts w:hint="eastAsia" w:ascii="宋体" w:hAnsi="Times New Roman" w:eastAsia="宋体" w:cs="宋体"/>
          <w:color w:val="auto"/>
          <w:sz w:val="28"/>
          <w:szCs w:val="28"/>
          <w:highlight w:val="none"/>
          <w:u w:val="single"/>
          <w:lang w:val="en-US" w:eastAsia="zh-CN"/>
        </w:rPr>
        <w:t xml:space="preserve">6</w:t>
      </w:r>
      <w:r>
        <w:rPr>
          <w:rFonts w:hint="eastAsia" w:ascii="宋体" w:hAnsi="Times New Roman" w:eastAsia="宋体" w:cs="宋体"/>
          <w:color w:val="auto"/>
          <w:sz w:val="28"/>
          <w:szCs w:val="28"/>
          <w:highlight w:val="none"/>
        </w:rPr>
        <w:t xml:space="preserve">年</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 xml:space="preserve">月</w:t>
      </w:r>
      <w:r>
        <w:rPr>
          <w:rFonts w:hint="eastAsia" w:ascii="宋体" w:hAnsi="Times New Roman" w:eastAsia="宋体" w:cs="宋体"/>
          <w:color w:val="auto"/>
          <w:sz w:val="28"/>
          <w:szCs w:val="28"/>
          <w:highlight w:val="none"/>
          <w:u w:val="single"/>
        </w:rPr>
        <w:t xml:space="preserve">       </w:t>
      </w:r>
      <w:r>
        <w:rPr>
          <w:rFonts w:hint="eastAsia" w:ascii="宋体" w:hAnsi="Times New Roman" w:eastAsia="宋体" w:cs="宋体"/>
          <w:color w:val="auto"/>
          <w:sz w:val="28"/>
          <w:szCs w:val="28"/>
          <w:highlight w:val="none"/>
        </w:rPr>
        <w:t xml:space="preserve">日</w:t>
      </w:r>
      <w:r/>
    </w:p>
    <w:p>
      <w:pPr>
        <w:ind w:firstLine="480"/>
        <w:spacing w:line="440" w:lineRule="exact"/>
        <w:widowControl/>
        <w:rPr>
          <w:rFonts w:hint="default" w:ascii="宋体" w:hAnsi="Times New Roman" w:eastAsia="宋体" w:cs="宋体"/>
          <w:color w:val="auto"/>
          <w:sz w:val="24"/>
          <w:szCs w:val="24"/>
          <w:highlight w:val="none"/>
        </w:rPr>
      </w:pPr>
      <w:r>
        <w:rPr>
          <w:rFonts w:hint="default" w:ascii="宋体" w:hAnsi="Times New Roman" w:eastAsia="宋体" w:cs="宋体"/>
          <w:color w:val="auto"/>
          <w:sz w:val="24"/>
          <w:szCs w:val="24"/>
          <w:highlight w:val="none"/>
        </w:rPr>
        <w:br w:type="page" w:clear="all"/>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rPr>
      </w:pPr>
      <w:r/>
      <w:bookmarkStart w:id="29" w:name="_Toc331685784"/>
      <w:r>
        <w:rPr>
          <w:rFonts w:hint="eastAsia" w:ascii="宋体" w:hAnsi="宋体" w:eastAsia="宋体" w:cs="宋体"/>
          <w:color w:val="auto"/>
          <w:sz w:val="21"/>
          <w:szCs w:val="24"/>
          <w:highlight w:val="none"/>
        </w:rPr>
        <w:t xml:space="preserve">根据《中华人民共和国民法典》、《中华人民共和国政府采购法》等法律法规的规定，甲乙双方按照</w:t>
      </w:r>
      <w:r>
        <w:rPr>
          <w:rFonts w:hint="eastAsia" w:ascii="宋体" w:hAnsi="宋体" w:eastAsia="宋体" w:cs="宋体"/>
          <w:b/>
          <w:bCs/>
          <w:color w:val="auto"/>
          <w:sz w:val="21"/>
          <w:szCs w:val="24"/>
          <w:highlight w:val="none"/>
          <w:u w:val="single"/>
          <w:lang w:eastAsia="zh-CN"/>
        </w:rPr>
        <w:t xml:space="preserve">环卫所车辆维修</w:t>
      </w:r>
      <w:r>
        <w:rPr>
          <w:rFonts w:hint="eastAsia" w:ascii="宋体" w:hAnsi="宋体" w:eastAsia="宋体" w:cs="宋体"/>
          <w:b/>
          <w:bCs/>
          <w:color w:val="auto"/>
          <w:sz w:val="21"/>
          <w:szCs w:val="24"/>
          <w:highlight w:val="none"/>
          <w:u w:val="single"/>
          <w:lang w:val="en-US" w:eastAsia="zh-CN"/>
        </w:rPr>
        <w:t xml:space="preserve">服务</w:t>
      </w:r>
      <w:r>
        <w:rPr>
          <w:rFonts w:hint="eastAsia" w:ascii="宋体" w:hAnsi="宋体" w:eastAsia="宋体" w:cs="宋体"/>
          <w:b/>
          <w:bCs/>
          <w:color w:val="auto"/>
          <w:sz w:val="21"/>
          <w:szCs w:val="24"/>
          <w:highlight w:val="none"/>
          <w:u w:val="single"/>
          <w:lang w:eastAsia="zh-CN"/>
        </w:rPr>
        <w:t xml:space="preserve">（</w:t>
      </w:r>
      <w:r>
        <w:rPr>
          <w:rFonts w:hint="eastAsia" w:ascii="宋体" w:hAnsi="宋体" w:eastAsia="宋体" w:cs="宋体"/>
          <w:b/>
          <w:bCs/>
          <w:color w:val="auto"/>
          <w:sz w:val="21"/>
          <w:szCs w:val="24"/>
          <w:highlight w:val="none"/>
          <w:u w:val="single"/>
          <w:lang w:val="en-US" w:eastAsia="zh-CN"/>
        </w:rPr>
        <w:t xml:space="preserve">  标段</w:t>
      </w:r>
      <w:r>
        <w:rPr>
          <w:rFonts w:hint="eastAsia" w:ascii="宋体" w:hAnsi="宋体" w:eastAsia="宋体" w:cs="宋体"/>
          <w:b/>
          <w:bCs/>
          <w:color w:val="auto"/>
          <w:sz w:val="21"/>
          <w:szCs w:val="24"/>
          <w:highlight w:val="none"/>
          <w:u w:val="single"/>
          <w:lang w:eastAsia="zh-CN"/>
        </w:rPr>
        <w:t xml:space="preserve">）</w:t>
      </w:r>
      <w:r>
        <w:rPr>
          <w:rFonts w:hint="eastAsia" w:ascii="宋体" w:hAnsi="宋体" w:eastAsia="宋体" w:cs="宋体"/>
          <w:color w:val="auto"/>
          <w:sz w:val="21"/>
          <w:szCs w:val="24"/>
          <w:highlight w:val="none"/>
        </w:rPr>
        <w:t xml:space="preserve">（</w:t>
      </w:r>
      <w:r>
        <w:rPr>
          <w:rFonts w:hint="eastAsia" w:ascii="宋体" w:hAnsi="宋体" w:eastAsia="宋体" w:cs="宋体"/>
          <w:b/>
          <w:bCs/>
          <w:color w:val="auto"/>
          <w:sz w:val="21"/>
          <w:szCs w:val="24"/>
          <w:highlight w:val="none"/>
        </w:rPr>
        <w:t xml:space="preserve">编号</w:t>
      </w:r>
      <w:r>
        <w:rPr>
          <w:rFonts w:hint="eastAsia" w:ascii="宋体" w:hAnsi="宋体" w:eastAsia="宋体" w:cs="宋体"/>
          <w:b/>
          <w:bCs/>
          <w:color w:val="auto"/>
          <w:sz w:val="21"/>
          <w:szCs w:val="24"/>
          <w:highlight w:val="none"/>
          <w:lang w:eastAsia="zh-CN"/>
        </w:rPr>
        <w:t xml:space="preserve"> </w:t>
      </w:r>
      <w:r>
        <w:rPr>
          <w:rFonts w:hint="eastAsia" w:ascii="宋体" w:hAnsi="宋体" w:cs="宋体"/>
          <w:b/>
          <w:bCs/>
          <w:color w:val="auto"/>
          <w:sz w:val="21"/>
          <w:szCs w:val="24"/>
          <w:highlight w:val="none"/>
          <w:lang w:eastAsia="zh-CN"/>
        </w:rPr>
        <w:t xml:space="preserve">JSZC-320585-SZTZ-G2026-0009</w:t>
      </w:r>
      <w:r>
        <w:rPr>
          <w:rFonts w:hint="eastAsia" w:ascii="宋体" w:hAnsi="宋体" w:eastAsia="宋体" w:cs="宋体"/>
          <w:color w:val="auto"/>
          <w:sz w:val="21"/>
          <w:szCs w:val="24"/>
          <w:highlight w:val="none"/>
        </w:rPr>
        <w:t xml:space="preserve">）的招标结果签订本合同。</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rPr>
        <w:t xml:space="preserve">一、组成本合同的有关文件 </w:t>
      </w:r>
      <w:r>
        <w:rPr>
          <w:rFonts w:hint="eastAsia" w:ascii="宋体" w:hAnsi="宋体" w:eastAsia="宋体" w:cs="宋体"/>
          <w:color w:val="auto"/>
          <w:sz w:val="21"/>
          <w:szCs w:val="24"/>
          <w:highlight w:val="none"/>
        </w:rPr>
        <w:t xml:space="preserve">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下列与本次采购活动有关的文件及有关附件是本合同不可分割的组成部分，与本合同具有同等法律效力，这些文件包括但不限于：</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1、招标采购文件（编号：</w:t>
      </w:r>
      <w:r>
        <w:rPr>
          <w:rFonts w:hint="eastAsia" w:ascii="宋体" w:hAnsi="宋体" w:cs="宋体"/>
          <w:bCs/>
          <w:color w:val="auto"/>
          <w:sz w:val="21"/>
          <w:szCs w:val="24"/>
          <w:highlight w:val="none"/>
          <w:lang w:eastAsia="zh-CN"/>
        </w:rPr>
        <w:t xml:space="preserve">JSZC-320585-SZTZ-G2026-0009</w:t>
      </w:r>
      <w:r>
        <w:rPr>
          <w:rFonts w:hint="eastAsia" w:ascii="宋体" w:hAnsi="宋体" w:eastAsia="宋体" w:cs="宋体"/>
          <w:bCs/>
          <w:color w:val="auto"/>
          <w:sz w:val="21"/>
          <w:szCs w:val="24"/>
          <w:highlight w:val="none"/>
          <w:lang w:val="en-US" w:eastAsia="zh-CN"/>
        </w:rPr>
        <w:t xml:space="preserve">-    </w:t>
      </w:r>
      <w:r>
        <w:rPr>
          <w:rFonts w:hint="eastAsia" w:ascii="宋体" w:hAnsi="宋体" w:eastAsia="宋体" w:cs="宋体"/>
          <w:color w:val="auto"/>
          <w:sz w:val="21"/>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2、乙方提供的投标文件和投标报价表；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zh-CN"/>
        </w:rPr>
        <w:t xml:space="preserve">3、乙方在投标过程中所作的其他承诺、声明、书面澄清等；</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4、中标通知书； </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5、甲乙双方商定的其他文件等。</w:t>
      </w:r>
      <w:r/>
    </w:p>
    <w:p>
      <w:pPr>
        <w:ind w:firstLine="422"/>
        <w:jc w:val="left"/>
        <w:keepLines w:val="0"/>
        <w:keepNext w:val="0"/>
        <w:pageBreakBefore w:val="0"/>
        <w:spacing w:line="360" w:lineRule="auto"/>
        <w:widowControl w:val="off"/>
        <w:rPr>
          <w:rFonts w:hint="eastAsia" w:ascii="宋体" w:hAnsi="宋体" w:eastAsia="宋体" w:cs="宋体"/>
          <w:b/>
          <w:color w:val="auto"/>
          <w:sz w:val="21"/>
          <w:szCs w:val="24"/>
          <w:highlight w:val="none"/>
        </w:rPr>
      </w:pPr>
      <w:r>
        <w:rPr>
          <w:rFonts w:hint="eastAsia" w:ascii="宋体" w:hAnsi="宋体" w:eastAsia="宋体" w:cs="宋体"/>
          <w:b/>
          <w:color w:val="auto"/>
          <w:sz w:val="21"/>
          <w:szCs w:val="24"/>
          <w:highlight w:val="none"/>
        </w:rPr>
        <w:t xml:space="preserve">二、合同的标的物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1、甲方向乙方提供标的物，具体的品种、规格要求如下：</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lang w:val="en-US" w:eastAsia="zh-CN"/>
        </w:rPr>
        <w:t xml:space="preserve">1</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lang w:val="en-US" w:eastAsia="zh-CN"/>
        </w:rPr>
        <w:t xml:space="preserve">甲方车辆明细详见附件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2</w:t>
      </w:r>
      <w:r>
        <w:rPr>
          <w:rFonts w:hint="eastAsia" w:ascii="宋体" w:hAnsi="宋体" w:eastAsia="宋体" w:cs="宋体"/>
          <w:color w:val="auto"/>
          <w:sz w:val="21"/>
          <w:szCs w:val="24"/>
          <w:highlight w:val="none"/>
        </w:rPr>
        <w:t xml:space="preserve">）甲方部分作业车辆的维修及配件，单价详见附件；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3</w:t>
      </w:r>
      <w:r>
        <w:rPr>
          <w:rFonts w:hint="eastAsia" w:ascii="宋体" w:hAnsi="宋体" w:eastAsia="宋体" w:cs="宋体"/>
          <w:color w:val="auto"/>
          <w:sz w:val="21"/>
          <w:szCs w:val="24"/>
          <w:highlight w:val="none"/>
        </w:rPr>
        <w:t xml:space="preserve">）服务期限：自 202</w:t>
      </w:r>
      <w:r>
        <w:rPr>
          <w:rFonts w:hint="eastAsia" w:ascii="宋体" w:hAnsi="宋体" w:eastAsia="宋体" w:cs="宋体"/>
          <w:color w:val="auto"/>
          <w:sz w:val="21"/>
          <w:szCs w:val="24"/>
          <w:highlight w:val="none"/>
          <w:lang w:val="en-US" w:eastAsia="zh-CN"/>
        </w:rPr>
        <w:t xml:space="preserve">6</w:t>
      </w:r>
      <w:r>
        <w:rPr>
          <w:rFonts w:hint="eastAsia" w:ascii="宋体" w:hAnsi="宋体" w:eastAsia="宋体" w:cs="宋体"/>
          <w:color w:val="auto"/>
          <w:sz w:val="21"/>
          <w:szCs w:val="24"/>
          <w:highlight w:val="none"/>
        </w:rPr>
        <w:t xml:space="preserve">年 </w:t>
      </w:r>
      <w:r>
        <w:rPr>
          <w:rFonts w:hint="eastAsia" w:ascii="宋体" w:hAnsi="宋体" w:eastAsia="宋体" w:cs="宋体"/>
          <w:color w:val="auto"/>
          <w:sz w:val="21"/>
          <w:szCs w:val="24"/>
          <w:highlight w:val="none"/>
          <w:lang w:val="en-US" w:eastAsia="zh-CN"/>
        </w:rPr>
        <w:t xml:space="preserve">   </w:t>
      </w:r>
      <w:r>
        <w:rPr>
          <w:rFonts w:hint="eastAsia" w:ascii="宋体" w:hAnsi="宋体" w:eastAsia="宋体" w:cs="宋体"/>
          <w:color w:val="auto"/>
          <w:sz w:val="21"/>
          <w:szCs w:val="24"/>
          <w:highlight w:val="none"/>
        </w:rPr>
        <w:t xml:space="preserve">月 </w:t>
      </w:r>
      <w:r>
        <w:rPr>
          <w:rFonts w:hint="eastAsia" w:ascii="宋体" w:hAnsi="宋体" w:eastAsia="宋体" w:cs="宋体"/>
          <w:color w:val="auto"/>
          <w:sz w:val="21"/>
          <w:szCs w:val="24"/>
          <w:highlight w:val="none"/>
          <w:lang w:val="en-US" w:eastAsia="zh-CN"/>
        </w:rPr>
        <w:t xml:space="preserve">  </w:t>
      </w:r>
      <w:r>
        <w:rPr>
          <w:rFonts w:hint="eastAsia" w:ascii="宋体" w:hAnsi="宋体" w:eastAsia="宋体" w:cs="宋体"/>
          <w:color w:val="auto"/>
          <w:sz w:val="21"/>
          <w:szCs w:val="24"/>
          <w:highlight w:val="none"/>
        </w:rPr>
        <w:t xml:space="preserve"> 日起</w:t>
      </w:r>
      <w:r>
        <w:rPr>
          <w:rFonts w:hint="eastAsia" w:ascii="宋体" w:hAnsi="宋体" w:eastAsia="宋体" w:cs="宋体"/>
          <w:color w:val="auto"/>
          <w:sz w:val="21"/>
          <w:szCs w:val="24"/>
          <w:highlight w:val="none"/>
          <w:lang w:val="en-US" w:eastAsia="zh-CN"/>
        </w:rPr>
        <w:t xml:space="preserve">,</w:t>
      </w:r>
      <w:r>
        <w:rPr>
          <w:rFonts w:hint="eastAsia" w:ascii="宋体" w:hAnsi="宋体" w:eastAsia="宋体" w:cs="宋体"/>
          <w:color w:val="auto"/>
          <w:sz w:val="21"/>
          <w:szCs w:val="24"/>
          <w:highlight w:val="none"/>
        </w:rPr>
        <w:t xml:space="preserve">至202</w:t>
      </w: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年  月  日止。</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4</w:t>
      </w:r>
      <w:r>
        <w:rPr>
          <w:rFonts w:hint="eastAsia" w:ascii="宋体" w:hAnsi="宋体" w:eastAsia="宋体" w:cs="宋体"/>
          <w:color w:val="auto"/>
          <w:sz w:val="21"/>
          <w:szCs w:val="24"/>
          <w:highlight w:val="none"/>
        </w:rPr>
        <w:t xml:space="preserve">）定点维修服务期内，乙方所提供配件须按</w:t>
      </w:r>
      <w:r>
        <w:rPr>
          <w:rFonts w:hint="eastAsia" w:ascii="宋体" w:hAnsi="宋体" w:eastAsia="宋体" w:cs="宋体"/>
          <w:color w:val="auto"/>
          <w:sz w:val="21"/>
          <w:szCs w:val="24"/>
          <w:highlight w:val="none"/>
          <w:lang w:val="en-US" w:eastAsia="zh-CN"/>
        </w:rPr>
        <w:t xml:space="preserve">中标优惠率</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结算</w:t>
      </w:r>
      <w:r>
        <w:rPr>
          <w:rFonts w:hint="eastAsia" w:ascii="宋体" w:hAnsi="宋体" w:eastAsia="宋体" w:cs="宋体"/>
          <w:color w:val="auto"/>
          <w:sz w:val="21"/>
          <w:szCs w:val="24"/>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5</w:t>
      </w:r>
      <w:r>
        <w:rPr>
          <w:rFonts w:hint="eastAsia" w:ascii="宋体" w:hAnsi="宋体" w:eastAsia="宋体" w:cs="宋体"/>
          <w:color w:val="auto"/>
          <w:sz w:val="21"/>
          <w:szCs w:val="24"/>
          <w:highlight w:val="none"/>
        </w:rPr>
        <w:t xml:space="preserve">）定点服务期内，若乙方所提供配件超出招标书所提供配件目录，须提前向甲方备案，在甲方确定价格后结算，则所提供配件价格在市场实际购入价格的基础上,其配件价格特定进销差价率为</w:t>
      </w:r>
      <w:r>
        <w:rPr>
          <w:rFonts w:hint="eastAsia" w:ascii="宋体" w:hAnsi="宋体" w:eastAsia="宋体" w:cs="宋体"/>
          <w:color w:val="auto"/>
          <w:sz w:val="21"/>
          <w:szCs w:val="24"/>
          <w:highlight w:val="none"/>
          <w:u w:val="single"/>
          <w:lang w:val="en-US" w:eastAsia="zh-CN"/>
        </w:rPr>
        <w:t xml:space="preserve">8</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lang w:val="en-US" w:eastAsia="zh-CN"/>
        </w:rPr>
        <w:t xml:space="preserve">6</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维修工时费包括车辆整车修理、总成修理、二级维护、一级维护、小修及专项修理等所有维修和维护工作所需的工时费。维修工时费</w:t>
      </w:r>
      <w:r>
        <w:rPr>
          <w:rFonts w:hint="eastAsia" w:ascii="宋体" w:hAnsi="宋体" w:eastAsia="宋体" w:cs="宋体"/>
          <w:color w:val="auto"/>
          <w:sz w:val="21"/>
          <w:szCs w:val="24"/>
          <w:highlight w:val="none"/>
          <w:lang w:eastAsia="zh-CN"/>
        </w:rPr>
        <w:t xml:space="preserve">下浮率</w:t>
      </w:r>
      <w:r>
        <w:rPr>
          <w:rFonts w:hint="eastAsia" w:ascii="宋体" w:hAnsi="宋体" w:eastAsia="宋体" w:cs="宋体"/>
          <w:color w:val="auto"/>
          <w:sz w:val="21"/>
          <w:szCs w:val="24"/>
          <w:highlight w:val="none"/>
        </w:rPr>
        <w:t xml:space="preserve">为</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下浮后</w:t>
      </w:r>
      <w:r>
        <w:rPr>
          <w:rFonts w:hint="eastAsia" w:ascii="宋体" w:hAnsi="宋体" w:eastAsia="宋体" w:cs="宋体"/>
          <w:color w:val="auto"/>
          <w:sz w:val="21"/>
          <w:szCs w:val="24"/>
          <w:highlight w:val="none"/>
        </w:rPr>
        <w:t xml:space="preserve">报价为</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u w:val="single"/>
          <w:lang w:val="en-US" w:eastAsia="zh-CN"/>
        </w:rPr>
        <w:t xml:space="preserve"> </w:t>
      </w:r>
      <w:r>
        <w:rPr>
          <w:rFonts w:hint="eastAsia" w:ascii="宋体" w:hAnsi="宋体" w:eastAsia="宋体" w:cs="宋体"/>
          <w:color w:val="auto"/>
          <w:sz w:val="21"/>
          <w:szCs w:val="24"/>
          <w:highlight w:val="none"/>
          <w:u w:val="single"/>
        </w:rPr>
        <w:t xml:space="preserve"> </w:t>
      </w:r>
      <w:r>
        <w:rPr>
          <w:rFonts w:hint="eastAsia" w:ascii="宋体" w:hAnsi="宋体" w:eastAsia="宋体" w:cs="宋体"/>
          <w:color w:val="auto"/>
          <w:sz w:val="21"/>
          <w:szCs w:val="24"/>
          <w:highlight w:val="none"/>
        </w:rPr>
        <w:t xml:space="preserve">元/工时。</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）结算工时定额计算办法：江苏省交通运输协会汽车维修行业分会公布的2014版《江苏省机动车维修结算工时定额与收费指南》。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.1汽车大修过程中必</w:t>
      </w:r>
      <w:r>
        <w:rPr>
          <w:rFonts w:hint="eastAsia" w:ascii="宋体" w:hAnsi="宋体" w:eastAsia="宋体" w:cs="宋体"/>
          <w:color w:val="auto"/>
          <w:sz w:val="21"/>
          <w:szCs w:val="24"/>
          <w:highlight w:val="none"/>
          <w:lang w:val="en-US" w:eastAsia="zh-CN"/>
        </w:rPr>
        <w:t xml:space="preserve">需更换</w:t>
      </w:r>
      <w:r>
        <w:rPr>
          <w:rFonts w:hint="eastAsia" w:ascii="宋体" w:hAnsi="宋体" w:eastAsia="宋体" w:cs="宋体"/>
          <w:color w:val="auto"/>
          <w:sz w:val="21"/>
          <w:szCs w:val="24"/>
          <w:highlight w:val="none"/>
        </w:rPr>
        <w:t xml:space="preserve">总成件时，则最高可按该总成件大修工时定额的50%进行结算，采购单位送修某一总成件时，维修服务企业应在剔除该总成件的拆装工时后进行结算；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.2车辆维护过程中，发生与小修项目重叠的作业，不得再对该小修项目的工时进行重复计算；同一总成同时有二项以上小修作业的，可选择在较高小修项目工时费用基础上，增加30%进行结算；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.3同一车辆维修，发生总成大修、局部维护、小修等混合型修理作业，以及整形、喷漆等多门类作业时，可按工时定额规定的作业项目工时，逐项累计计算。</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lang w:val="en-US" w:eastAsia="zh-CN"/>
        </w:rPr>
        <w:t xml:space="preserve">7</w:t>
      </w:r>
      <w:r>
        <w:rPr>
          <w:rFonts w:hint="eastAsia" w:ascii="宋体" w:hAnsi="宋体" w:eastAsia="宋体" w:cs="宋体"/>
          <w:color w:val="auto"/>
          <w:sz w:val="21"/>
          <w:szCs w:val="24"/>
          <w:highlight w:val="none"/>
        </w:rPr>
        <w:t xml:space="preserve">.4未列车型的维修工时定额，参照相近车型的作业项目工时定额进行结算，没有相近车型参照的，由</w:t>
      </w:r>
      <w:r>
        <w:rPr>
          <w:rFonts w:hint="eastAsia" w:ascii="宋体" w:hAnsi="宋体" w:eastAsia="宋体" w:cs="宋体"/>
          <w:color w:val="auto"/>
          <w:sz w:val="21"/>
          <w:szCs w:val="24"/>
          <w:highlight w:val="none"/>
          <w:lang w:val="en-US" w:eastAsia="zh-CN"/>
        </w:rPr>
        <w:t xml:space="preserve">甲乙</w:t>
      </w:r>
      <w:r>
        <w:rPr>
          <w:rFonts w:hint="eastAsia" w:ascii="宋体" w:hAnsi="宋体" w:eastAsia="宋体" w:cs="宋体"/>
          <w:color w:val="auto"/>
          <w:sz w:val="21"/>
          <w:szCs w:val="24"/>
          <w:highlight w:val="none"/>
        </w:rPr>
        <w:t xml:space="preserve">双方协商确定；</w:t>
      </w:r>
      <w:r/>
    </w:p>
    <w:p>
      <w:pPr>
        <w:numPr>
          <w:ilvl w:val="0"/>
          <w:numId w:val="8"/>
        </w:num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lang w:val="en-US" w:eastAsia="zh-CN"/>
        </w:rPr>
        <w:outlineLvl w:val="0"/>
      </w:pPr>
      <w:r>
        <w:rPr>
          <w:rFonts w:hint="eastAsia" w:ascii="宋体" w:hAnsi="宋体" w:eastAsia="宋体" w:cs="宋体"/>
          <w:color w:val="auto"/>
          <w:sz w:val="21"/>
          <w:szCs w:val="24"/>
          <w:highlight w:val="none"/>
          <w:lang w:val="en-US" w:eastAsia="zh-CN"/>
        </w:rPr>
        <w:t xml:space="preserve">其他费用</w:t>
      </w:r>
      <w:r/>
    </w:p>
    <w:p>
      <w:pPr>
        <w:numPr>
          <w:ilvl w:val="0"/>
          <w:numId w:val="0"/>
        </w:num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8.1</w:t>
      </w:r>
      <w:r>
        <w:rPr>
          <w:rFonts w:hint="eastAsia" w:ascii="宋体" w:hAnsi="宋体" w:eastAsia="宋体" w:cs="宋体"/>
          <w:color w:val="auto"/>
          <w:sz w:val="21"/>
          <w:szCs w:val="24"/>
          <w:highlight w:val="none"/>
        </w:rPr>
        <w:t xml:space="preserve">车辆维修竣工后，如需委托机动车综合性能检测机构对车辆进行检测所发生的费用，由维修服务企业承担，车辆维修前的故障诊断费用，已包含在配件材料投标报价中，由维修服务企业承担，需要检测的项目和要求，应符合国家有关规定；</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8.2</w:t>
      </w:r>
      <w:r>
        <w:rPr>
          <w:rFonts w:hint="eastAsia" w:ascii="宋体" w:hAnsi="宋体" w:eastAsia="宋体" w:cs="宋体"/>
          <w:color w:val="auto"/>
          <w:sz w:val="21"/>
          <w:szCs w:val="24"/>
          <w:highlight w:val="none"/>
        </w:rPr>
        <w:t xml:space="preserve">维修中使用的总成件、零配件和原材料等，配件目录以外的配件，按市场实际购进价，加上合理的进销差价率进行结算，本项目材料的进销差价率为</w:t>
      </w:r>
      <w:r>
        <w:rPr>
          <w:rFonts w:hint="eastAsia" w:ascii="宋体" w:hAnsi="宋体" w:eastAsia="宋体" w:cs="宋体"/>
          <w:color w:val="auto"/>
          <w:sz w:val="21"/>
          <w:szCs w:val="24"/>
          <w:highlight w:val="none"/>
          <w:lang w:val="en-US" w:eastAsia="zh-CN"/>
        </w:rPr>
        <w:t xml:space="preserve">8</w:t>
      </w:r>
      <w:r>
        <w:rPr>
          <w:rFonts w:hint="eastAsia" w:ascii="宋体" w:hAnsi="宋体" w:eastAsia="宋体" w:cs="宋体"/>
          <w:color w:val="auto"/>
          <w:sz w:val="21"/>
          <w:szCs w:val="24"/>
          <w:highlight w:val="none"/>
        </w:rPr>
        <w:t xml:space="preserve">%；</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8.3</w:t>
      </w:r>
      <w:r>
        <w:rPr>
          <w:rFonts w:hint="eastAsia" w:ascii="宋体" w:hAnsi="宋体" w:eastAsia="宋体" w:cs="宋体"/>
          <w:color w:val="auto"/>
          <w:sz w:val="21"/>
          <w:szCs w:val="24"/>
          <w:highlight w:val="none"/>
        </w:rPr>
        <w:t xml:space="preserve">车辆维修过程中使用的低值辅助材料的费用，已包含在工时费用中，维修服务企业不得另行收取《江苏省机动车维修结算工时定额与收费指南》中所规定的机动车维修辅助材料费用；</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8.4</w:t>
      </w:r>
      <w:r>
        <w:rPr>
          <w:rFonts w:hint="eastAsia" w:ascii="宋体" w:hAnsi="宋体" w:eastAsia="宋体" w:cs="宋体"/>
          <w:color w:val="auto"/>
          <w:sz w:val="21"/>
          <w:szCs w:val="24"/>
          <w:highlight w:val="none"/>
        </w:rPr>
        <w:t xml:space="preserve">维修服务企业使用的修复件和自制件，必须达到双方约定的质量要求。修复件费用最高按同类配件市场价格的50%进行结算。自制件费用，可按实际发生的费用进行结算。修复件和自制件应在维修材料清单中列出并注明；</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8.5</w:t>
      </w:r>
      <w:r>
        <w:rPr>
          <w:rFonts w:hint="eastAsia" w:ascii="宋体" w:hAnsi="宋体" w:eastAsia="宋体" w:cs="宋体"/>
          <w:color w:val="auto"/>
          <w:sz w:val="21"/>
          <w:szCs w:val="24"/>
          <w:highlight w:val="none"/>
        </w:rPr>
        <w:t xml:space="preserve">维修服务商使用的修复件、自制件非原制造商认可的配件修、装车辆，应征得</w:t>
      </w:r>
      <w:r>
        <w:rPr>
          <w:rFonts w:hint="eastAsia" w:ascii="宋体" w:hAnsi="宋体" w:eastAsia="宋体" w:cs="宋体"/>
          <w:color w:val="auto"/>
          <w:sz w:val="21"/>
          <w:szCs w:val="24"/>
          <w:highlight w:val="none"/>
          <w:lang w:eastAsia="zh-CN"/>
        </w:rPr>
        <w:t xml:space="preserve">甲方</w:t>
      </w:r>
      <w:r>
        <w:rPr>
          <w:rFonts w:hint="eastAsia" w:ascii="宋体" w:hAnsi="宋体" w:eastAsia="宋体" w:cs="宋体"/>
          <w:color w:val="auto"/>
          <w:sz w:val="21"/>
          <w:szCs w:val="24"/>
          <w:highlight w:val="none"/>
        </w:rPr>
        <w:t xml:space="preserve">的同意，未经同意而造成的后果，由维修服务商承担；</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8.6</w:t>
      </w:r>
      <w:r>
        <w:rPr>
          <w:rFonts w:hint="eastAsia" w:ascii="宋体" w:hAnsi="宋体" w:eastAsia="宋体" w:cs="宋体"/>
          <w:color w:val="auto"/>
          <w:sz w:val="21"/>
          <w:szCs w:val="24"/>
          <w:highlight w:val="none"/>
        </w:rPr>
        <w:t xml:space="preserve">经检验仍可使用一定时期的换件，更换前必须征得</w:t>
      </w:r>
      <w:r>
        <w:rPr>
          <w:rFonts w:hint="eastAsia" w:ascii="宋体" w:hAnsi="宋体" w:eastAsia="宋体" w:cs="宋体"/>
          <w:color w:val="auto"/>
          <w:sz w:val="21"/>
          <w:szCs w:val="24"/>
          <w:highlight w:val="none"/>
          <w:lang w:eastAsia="zh-CN"/>
        </w:rPr>
        <w:t xml:space="preserve">甲方</w:t>
      </w:r>
      <w:r>
        <w:rPr>
          <w:rFonts w:hint="eastAsia" w:ascii="宋体" w:hAnsi="宋体" w:eastAsia="宋体" w:cs="宋体"/>
          <w:color w:val="auto"/>
          <w:sz w:val="21"/>
          <w:szCs w:val="24"/>
          <w:highlight w:val="none"/>
        </w:rPr>
        <w:t xml:space="preserve">同意，并有义务告知真实的技术状况或预期使用寿命，使用与否由</w:t>
      </w:r>
      <w:r>
        <w:rPr>
          <w:rFonts w:hint="eastAsia" w:ascii="宋体" w:hAnsi="宋体" w:eastAsia="宋体" w:cs="宋体"/>
          <w:color w:val="auto"/>
          <w:sz w:val="21"/>
          <w:szCs w:val="24"/>
          <w:highlight w:val="none"/>
          <w:lang w:eastAsia="zh-CN"/>
        </w:rPr>
        <w:t xml:space="preserve">甲方</w:t>
      </w:r>
      <w:r>
        <w:rPr>
          <w:rFonts w:hint="eastAsia" w:ascii="宋体" w:hAnsi="宋体" w:eastAsia="宋体" w:cs="宋体"/>
          <w:color w:val="auto"/>
          <w:sz w:val="21"/>
          <w:szCs w:val="24"/>
          <w:highlight w:val="none"/>
        </w:rPr>
        <w:t xml:space="preserve">决定；</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lang w:val="en-US" w:eastAsia="zh-CN"/>
        </w:rPr>
        <w:t xml:space="preserve">8.7</w:t>
      </w:r>
      <w:r>
        <w:rPr>
          <w:rFonts w:hint="eastAsia" w:ascii="宋体" w:hAnsi="宋体" w:eastAsia="宋体" w:cs="宋体"/>
          <w:color w:val="auto"/>
          <w:sz w:val="21"/>
          <w:szCs w:val="24"/>
          <w:highlight w:val="none"/>
        </w:rPr>
        <w:t xml:space="preserve">维修服务商使用本企业所属经营部门所销售的维修配件，不得再次向</w:t>
      </w:r>
      <w:r>
        <w:rPr>
          <w:rFonts w:hint="eastAsia" w:ascii="宋体" w:hAnsi="宋体" w:eastAsia="宋体" w:cs="宋体"/>
          <w:color w:val="auto"/>
          <w:sz w:val="21"/>
          <w:szCs w:val="24"/>
          <w:highlight w:val="none"/>
          <w:lang w:eastAsia="zh-CN"/>
        </w:rPr>
        <w:t xml:space="preserve">甲方</w:t>
      </w:r>
      <w:r>
        <w:rPr>
          <w:rFonts w:hint="eastAsia" w:ascii="宋体" w:hAnsi="宋体" w:eastAsia="宋体" w:cs="宋体"/>
          <w:color w:val="auto"/>
          <w:sz w:val="21"/>
          <w:szCs w:val="24"/>
          <w:highlight w:val="none"/>
        </w:rPr>
        <w:t xml:space="preserve">加收材料进销差价率所发生的费用。</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9</w:t>
      </w:r>
      <w:r>
        <w:rPr>
          <w:rFonts w:hint="eastAsia" w:ascii="宋体" w:hAnsi="宋体" w:eastAsia="宋体" w:cs="宋体"/>
          <w:color w:val="auto"/>
          <w:sz w:val="21"/>
          <w:szCs w:val="24"/>
          <w:highlight w:val="none"/>
        </w:rPr>
        <w:t xml:space="preserve">）甲方在合同期间新增车辆均按照此合同执行。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2、乙方对甲方提供的标的物应当拥有完整的物权，并且负有保证第三人不得向甲方主张任何权利（包括知识产权）的义务。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3、乙方承担甲方标的服务.</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4、若遇甲方机构调整变革导致标的物发生变化，则双方按调整后的标的物执行。</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lang w:val="en-US" w:eastAsia="zh-CN"/>
        </w:rPr>
      </w:pPr>
      <w:r>
        <w:rPr>
          <w:rFonts w:hint="eastAsia" w:ascii="宋体" w:hAnsi="宋体" w:eastAsia="宋体" w:cs="宋体"/>
          <w:b/>
          <w:bCs/>
          <w:color w:val="auto"/>
          <w:sz w:val="21"/>
          <w:szCs w:val="24"/>
          <w:highlight w:val="none"/>
          <w:lang w:val="en-US" w:eastAsia="zh-CN"/>
        </w:rPr>
        <w:t xml:space="preserve">三、履约验收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履约验收的实施主体：太仓市浮桥镇人民政府。</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履约验收时间：每</w:t>
      </w:r>
      <w:r>
        <w:rPr>
          <w:rFonts w:hint="eastAsia" w:ascii="宋体" w:hAnsi="宋体" w:eastAsia="宋体" w:cs="宋体"/>
          <w:color w:val="auto"/>
          <w:sz w:val="21"/>
          <w:szCs w:val="21"/>
          <w:highlight w:val="none"/>
          <w:lang w:val="en-US" w:eastAsia="zh-CN"/>
        </w:rPr>
        <w:t xml:space="preserve">个月甲方</w:t>
      </w:r>
      <w:r>
        <w:rPr>
          <w:rFonts w:hint="eastAsia" w:ascii="宋体" w:hAnsi="宋体" w:eastAsia="宋体" w:cs="宋体"/>
          <w:color w:val="auto"/>
          <w:sz w:val="21"/>
          <w:szCs w:val="21"/>
          <w:highlight w:val="none"/>
          <w:lang w:val="zh-CN" w:eastAsia="zh-CN"/>
        </w:rPr>
        <w:t xml:space="preserve">对</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lang w:val="zh-CN" w:eastAsia="zh-CN"/>
        </w:rPr>
        <w:t xml:space="preserve">的</w:t>
      </w:r>
      <w:r>
        <w:rPr>
          <w:rFonts w:hint="eastAsia" w:ascii="宋体" w:hAnsi="宋体" w:eastAsia="宋体" w:cs="宋体"/>
          <w:color w:val="auto"/>
          <w:sz w:val="21"/>
          <w:szCs w:val="21"/>
          <w:highlight w:val="none"/>
          <w:lang w:val="en-US" w:eastAsia="zh-CN"/>
        </w:rPr>
        <w:t xml:space="preserve">车辆维修</w:t>
      </w:r>
      <w:r>
        <w:rPr>
          <w:rFonts w:hint="eastAsia" w:ascii="宋体" w:hAnsi="宋体" w:eastAsia="宋体" w:cs="宋体"/>
          <w:color w:val="auto"/>
          <w:sz w:val="21"/>
          <w:szCs w:val="21"/>
          <w:highlight w:val="none"/>
          <w:lang w:val="zh-CN" w:eastAsia="zh-CN"/>
        </w:rPr>
        <w:t xml:space="preserve">服务履约</w:t>
      </w:r>
      <w:r>
        <w:rPr>
          <w:rFonts w:hint="eastAsia" w:ascii="宋体" w:hAnsi="宋体" w:eastAsia="宋体" w:cs="宋体"/>
          <w:color w:val="auto"/>
          <w:sz w:val="21"/>
          <w:szCs w:val="21"/>
          <w:highlight w:val="none"/>
          <w:lang w:val="en-US" w:eastAsia="zh-CN"/>
        </w:rPr>
        <w:t xml:space="preserve">情况</w:t>
      </w:r>
      <w:r>
        <w:rPr>
          <w:rFonts w:hint="eastAsia" w:ascii="宋体" w:hAnsi="宋体" w:eastAsia="宋体" w:cs="宋体"/>
          <w:color w:val="auto"/>
          <w:sz w:val="21"/>
          <w:szCs w:val="21"/>
          <w:highlight w:val="none"/>
          <w:lang w:val="zh-CN" w:eastAsia="zh-CN"/>
        </w:rPr>
        <w:t xml:space="preserve">进行验收，</w:t>
      </w:r>
      <w:r>
        <w:rPr>
          <w:rFonts w:hint="eastAsia" w:ascii="宋体" w:hAnsi="宋体" w:eastAsia="宋体" w:cs="宋体"/>
          <w:color w:val="auto"/>
          <w:sz w:val="21"/>
          <w:szCs w:val="21"/>
          <w:highlight w:val="none"/>
          <w:lang w:val="en-US" w:eastAsia="zh-CN"/>
        </w:rPr>
        <w:t xml:space="preserve">验收前甲方向乙方发出《政府采购履约验收通知单》（合同附件），验收完成后形成《政府采购履约验收书》（合同附件）</w:t>
      </w:r>
      <w:r>
        <w:rPr>
          <w:rFonts w:hint="eastAsia" w:ascii="宋体" w:hAnsi="宋体" w:eastAsia="宋体" w:cs="宋体"/>
          <w:color w:val="auto"/>
          <w:sz w:val="21"/>
          <w:szCs w:val="21"/>
          <w:highlight w:val="none"/>
          <w:lang w:val="zh-CN" w:eastAsia="zh-CN"/>
        </w:rPr>
        <w:t xml:space="preserve">。</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eastAsia="zh-CN"/>
        </w:rPr>
        <w:t xml:space="preserve">履约验收方式：分段验收。</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CN" w:eastAsia="zh-CN"/>
        </w:rPr>
        <w:t xml:space="preserve">履约验收内容和标准：</w:t>
      </w:r>
      <w:r>
        <w:rPr>
          <w:rFonts w:hint="eastAsia" w:ascii="宋体" w:hAnsi="宋体" w:eastAsia="宋体" w:cs="宋体"/>
          <w:color w:val="auto"/>
          <w:sz w:val="21"/>
          <w:szCs w:val="21"/>
          <w:highlight w:val="none"/>
          <w:lang w:val="en-US" w:eastAsia="zh-CN" w:bidi="ar-SA"/>
        </w:rPr>
        <w:t xml:space="preserve">按照采购文件要求及相关法律法规、行业标准进行验收。</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lang w:val="en-US" w:eastAsia="zh-CN"/>
        </w:rPr>
        <w:t xml:space="preserve">四</w:t>
      </w:r>
      <w:r>
        <w:rPr>
          <w:rFonts w:hint="eastAsia" w:ascii="宋体" w:hAnsi="宋体" w:eastAsia="宋体" w:cs="宋体"/>
          <w:b/>
          <w:bCs/>
          <w:color w:val="auto"/>
          <w:sz w:val="21"/>
          <w:szCs w:val="24"/>
          <w:highlight w:val="none"/>
        </w:rPr>
        <w:t xml:space="preserve">、</w:t>
      </w:r>
      <w:r>
        <w:rPr>
          <w:rFonts w:hint="eastAsia" w:ascii="宋体" w:hAnsi="宋体" w:eastAsia="宋体" w:cs="宋体"/>
          <w:b/>
          <w:bCs/>
          <w:color w:val="auto"/>
          <w:sz w:val="21"/>
          <w:szCs w:val="24"/>
          <w:highlight w:val="none"/>
          <w:lang w:val="en-US" w:eastAsia="zh-CN"/>
        </w:rPr>
        <w:t xml:space="preserve">付款</w:t>
      </w:r>
      <w:r>
        <w:rPr>
          <w:rFonts w:hint="eastAsia" w:ascii="宋体" w:hAnsi="宋体" w:eastAsia="宋体" w:cs="宋体"/>
          <w:b/>
          <w:bCs/>
          <w:color w:val="auto"/>
          <w:sz w:val="21"/>
          <w:szCs w:val="24"/>
          <w:highlight w:val="none"/>
        </w:rPr>
        <w:t xml:space="preserve">方式</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zh-CN" w:eastAsia="zh-CN" w:bidi="ar-SA"/>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付款方式一：</w:t>
      </w:r>
      <w:r>
        <w:rPr>
          <w:rFonts w:hint="eastAsia" w:ascii="宋体" w:hAnsi="宋体" w:eastAsia="宋体" w:cs="宋体"/>
          <w:color w:val="auto"/>
          <w:sz w:val="21"/>
          <w:szCs w:val="21"/>
          <w:highlight w:val="none"/>
          <w:lang w:val="zh-CN" w:eastAsia="zh-CN" w:bidi="ar-SA"/>
        </w:rPr>
        <w:t xml:space="preserve">维修费用按</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lang w:val="zh-CN" w:eastAsia="zh-CN" w:bidi="ar-SA"/>
        </w:rPr>
        <w:t xml:space="preserve">结算，</w:t>
      </w:r>
      <w:r>
        <w:rPr>
          <w:rFonts w:hint="eastAsia" w:ascii="宋体" w:hAnsi="宋体" w:eastAsia="宋体" w:cs="宋体"/>
          <w:color w:val="auto"/>
          <w:sz w:val="21"/>
          <w:szCs w:val="21"/>
          <w:highlight w:val="none"/>
          <w:lang w:val="en-US" w:eastAsia="zh-CN" w:bidi="ar-SA"/>
        </w:rPr>
        <w:t xml:space="preserve">每月</w:t>
      </w:r>
      <w:r>
        <w:rPr>
          <w:rFonts w:hint="eastAsia" w:ascii="宋体" w:hAnsi="宋体" w:eastAsia="宋体" w:cs="宋体"/>
          <w:color w:val="auto"/>
          <w:sz w:val="21"/>
          <w:szCs w:val="21"/>
          <w:highlight w:val="none"/>
          <w:lang w:val="zh-CN" w:eastAsia="zh-CN" w:bidi="ar-SA"/>
        </w:rPr>
        <w:t xml:space="preserve">付款金额=实际</w:t>
      </w:r>
      <w:r>
        <w:rPr>
          <w:rFonts w:hint="eastAsia" w:ascii="宋体" w:hAnsi="宋体" w:eastAsia="宋体" w:cs="宋体"/>
          <w:color w:val="auto"/>
          <w:sz w:val="21"/>
          <w:szCs w:val="21"/>
          <w:highlight w:val="none"/>
          <w:lang w:val="en-US" w:eastAsia="zh-CN" w:bidi="ar-SA"/>
        </w:rPr>
        <w:t xml:space="preserve">每个月</w:t>
      </w:r>
      <w:r>
        <w:rPr>
          <w:rFonts w:hint="eastAsia" w:ascii="宋体" w:hAnsi="宋体" w:eastAsia="宋体" w:cs="宋体"/>
          <w:color w:val="auto"/>
          <w:sz w:val="21"/>
          <w:szCs w:val="21"/>
          <w:highlight w:val="none"/>
          <w:lang w:val="zh-CN" w:eastAsia="zh-CN" w:bidi="ar-SA"/>
        </w:rPr>
        <w:t xml:space="preserve">发生费用-考核扣除款。</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none"/>
          <w:lang w:val="en-US" w:eastAsia="zh-CN"/>
        </w:rPr>
      </w:pPr>
      <w:r>
        <w:rPr>
          <w:rFonts w:ascii="Wingdings" w:hAnsi="Wingdings" w:eastAsia="Wingdings" w:cs="Wingdings"/>
          <w:color w:val="auto"/>
          <w:sz w:val="21"/>
          <w:szCs w:val="21"/>
          <w:highlight w:val="none"/>
          <w:lang w:val="en-US" w:eastAsia="zh-CN" w:bidi="ar-SA"/>
        </w:rPr>
        <w:t xml:space="preserve">¨</w:t>
      </w:r>
      <w:r>
        <w:rPr>
          <w:rFonts w:hint="eastAsia" w:ascii="宋体" w:hAnsi="宋体" w:eastAsia="宋体" w:cs="宋体"/>
          <w:color w:val="auto"/>
          <w:sz w:val="21"/>
          <w:szCs w:val="21"/>
          <w:highlight w:val="none"/>
          <w:u w:val="none"/>
          <w:lang w:val="en-US" w:eastAsia="zh-CN"/>
        </w:rPr>
        <w:t xml:space="preserve">付款方式二：</w:t>
      </w:r>
      <w:r/>
    </w:p>
    <w:p>
      <w:pPr>
        <w:contextualSpacing/>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none"/>
          <w:lang w:val="en-US" w:eastAsia="zh-CN"/>
        </w:rPr>
        <w:t xml:space="preserve">（1）合同签订生效后支付合同金额的10%预付款，余款按月结算，</w:t>
      </w:r>
      <w:r>
        <w:rPr>
          <w:rFonts w:hint="eastAsia" w:ascii="宋体" w:hAnsi="宋体" w:eastAsia="宋体" w:cs="宋体"/>
          <w:color w:val="auto"/>
          <w:sz w:val="21"/>
          <w:szCs w:val="21"/>
          <w:highlight w:val="none"/>
          <w:lang w:val="en-US" w:eastAsia="zh-CN" w:bidi="ar-SA"/>
        </w:rPr>
        <w:t xml:space="preserve">每月</w:t>
      </w:r>
      <w:r>
        <w:rPr>
          <w:rFonts w:hint="eastAsia" w:ascii="宋体" w:hAnsi="宋体" w:eastAsia="宋体" w:cs="宋体"/>
          <w:color w:val="auto"/>
          <w:sz w:val="21"/>
          <w:szCs w:val="21"/>
          <w:highlight w:val="none"/>
          <w:lang w:val="zh-CN" w:eastAsia="zh-CN" w:bidi="ar-SA"/>
        </w:rPr>
        <w:t xml:space="preserve">付款金额=实际</w:t>
      </w:r>
      <w:r>
        <w:rPr>
          <w:rFonts w:hint="eastAsia" w:ascii="宋体" w:hAnsi="宋体" w:eastAsia="宋体" w:cs="宋体"/>
          <w:color w:val="auto"/>
          <w:sz w:val="21"/>
          <w:szCs w:val="21"/>
          <w:highlight w:val="none"/>
          <w:lang w:val="en-US" w:eastAsia="zh-CN" w:bidi="ar-SA"/>
        </w:rPr>
        <w:t xml:space="preserve">每个月</w:t>
      </w:r>
      <w:r>
        <w:rPr>
          <w:rFonts w:hint="eastAsia" w:ascii="宋体" w:hAnsi="宋体" w:eastAsia="宋体" w:cs="宋体"/>
          <w:color w:val="auto"/>
          <w:sz w:val="21"/>
          <w:szCs w:val="21"/>
          <w:highlight w:val="none"/>
          <w:lang w:val="zh-CN" w:eastAsia="zh-CN" w:bidi="ar-SA"/>
        </w:rPr>
        <w:t xml:space="preserve">发生费用-考核扣除款。</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（2）预付款扣回：甲方在第一个月付款中扣除全部预付款，若第一个月付款金额不足以全额扣回预付款，则差额部分从后续进度款中继续扣回，直至全部预付款扣清为止。</w:t>
      </w:r>
      <w:r/>
    </w:p>
    <w:p>
      <w:pPr>
        <w:ind w:firstLine="420"/>
        <w:jc w:val="both"/>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1"/>
          <w:highlight w:val="none"/>
          <w:lang w:val="en-US" w:eastAsia="zh-CN"/>
        </w:rPr>
        <w:t xml:space="preserve">以上二种付款方式由双方签署合同前确认，乙方可自行勾选放弃预付款权益。</w:t>
      </w:r>
      <w:r>
        <w:rPr>
          <w:rFonts w:hint="eastAsia" w:ascii="宋体" w:hAnsi="宋体" w:eastAsia="宋体" w:cs="宋体"/>
          <w:color w:val="auto"/>
          <w:sz w:val="21"/>
          <w:szCs w:val="21"/>
          <w:highlight w:val="none"/>
        </w:rPr>
        <w:t xml:space="preserve">甲方将根据实际情况，使用数字人民币、转账等形式支付，并优先使用数字人民币支付。</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五</w:t>
      </w:r>
      <w:r>
        <w:rPr>
          <w:rFonts w:hint="eastAsia" w:ascii="宋体" w:hAnsi="宋体" w:eastAsia="宋体" w:cs="宋体"/>
          <w:b/>
          <w:bCs/>
          <w:color w:val="auto"/>
          <w:sz w:val="21"/>
          <w:szCs w:val="24"/>
          <w:highlight w:val="none"/>
        </w:rPr>
        <w:t xml:space="preserve">、质量保证</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b/>
          <w:color w:val="auto"/>
          <w:sz w:val="21"/>
          <w:szCs w:val="24"/>
          <w:highlight w:val="none"/>
        </w:rPr>
        <w:outlineLvl w:val="0"/>
      </w:pPr>
      <w:r>
        <w:rPr>
          <w:rFonts w:hint="eastAsia" w:ascii="宋体" w:hAnsi="宋体" w:eastAsia="宋体" w:cs="宋体"/>
          <w:color w:val="auto"/>
          <w:sz w:val="21"/>
          <w:szCs w:val="24"/>
          <w:highlight w:val="none"/>
        </w:rPr>
        <w:t xml:space="preserve">1、乙方提供维修服务时，应按不低于交通运输部关于修改《机动车维修管理规定》的决定（中华人民共和国交通运输部令2019年第20号）、《汽车销售管理办法》中有关规定及国家和地方汽车维修技术标准执行；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2、在甲、乙方双方约定的质量保证里程或时间内，因维修质量造成的机械事故和经济损失，由乙方全部负责；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3、在乙方维修过程中（包括接、送车过程）发生的任何事故由乙方全部负责；</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4、乙方应保证维修所用材料是未使用过的原厂生产的合格正品，并完全符合合同规定的质量和性能的要求。乙方应保证使用的维修材料在正确安装、正常使用和保养条件下，在其使用寿命期内应具有满意的性能。维修竣工车辆移交给甲方后，在质量保证期内，乙方应对由于维修技术、工艺或维修材料的缺陷以及其他由于乙方的原因而发生的任何不足或故障负责，费用由乙方负担。根据法定检验机构的检验结果或者在质量保证里程或时间内，如果证明维修是有缺陷的，包括潜在的缺陷或使用不符合要求的维修材料等，甲方有权以书面形式向乙方提出本保证下的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5、如果乙方在收到索赔通知后，在合同中所附服务承诺约定的时间内没有采取措施，甲方可采取必要的补救措施，但风险和费用将由乙方承担；</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6、根据甲方按检验标准自己检验的结果或当地计监部门的检验结果，或者在质量保证期内，如果维修的数量、质量或规格与合同不符或证实维修时存在缺陷的，包括潜在缺陷或使用不符合要求的材料等，甲方应尽快以书面形式通知乙方并提出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7、除特别约定外，合同条款中标的物的质量保证期均自标的物通过最终验收之日起计算。</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六</w:t>
      </w:r>
      <w:r>
        <w:rPr>
          <w:rFonts w:hint="eastAsia" w:ascii="宋体" w:hAnsi="宋体" w:eastAsia="宋体" w:cs="宋体"/>
          <w:b/>
          <w:bCs/>
          <w:color w:val="auto"/>
          <w:sz w:val="21"/>
          <w:szCs w:val="24"/>
          <w:highlight w:val="none"/>
        </w:rPr>
        <w:t xml:space="preserve">、考核</w:t>
      </w:r>
      <w:r>
        <w:rPr>
          <w:rFonts w:hint="eastAsia" w:ascii="宋体" w:hAnsi="宋体" w:eastAsia="宋体" w:cs="宋体"/>
          <w:color w:val="auto"/>
          <w:sz w:val="21"/>
          <w:szCs w:val="24"/>
          <w:highlight w:val="none"/>
        </w:rPr>
        <w:t xml:space="preserve">：考核办法见附表，车辆定点维修由</w:t>
      </w:r>
      <w:r>
        <w:rPr>
          <w:rFonts w:hint="eastAsia" w:ascii="宋体" w:hAnsi="宋体" w:eastAsia="宋体" w:cs="宋体"/>
          <w:color w:val="auto"/>
          <w:sz w:val="21"/>
          <w:szCs w:val="24"/>
          <w:highlight w:val="none"/>
          <w:lang w:val="en-US" w:eastAsia="zh-CN"/>
        </w:rPr>
        <w:t xml:space="preserve">乙方</w:t>
      </w:r>
      <w:r>
        <w:rPr>
          <w:rFonts w:hint="eastAsia" w:ascii="宋体" w:hAnsi="宋体" w:eastAsia="宋体" w:cs="宋体"/>
          <w:color w:val="auto"/>
          <w:sz w:val="21"/>
          <w:szCs w:val="24"/>
          <w:highlight w:val="none"/>
        </w:rPr>
        <w:t xml:space="preserve">全权负责，考核的主体单位为</w:t>
      </w:r>
      <w:r>
        <w:rPr>
          <w:rFonts w:hint="eastAsia" w:ascii="宋体" w:hAnsi="宋体" w:eastAsia="宋体" w:cs="宋体"/>
          <w:color w:val="auto"/>
          <w:sz w:val="21"/>
          <w:szCs w:val="24"/>
          <w:highlight w:val="none"/>
          <w:lang w:val="en-US" w:eastAsia="zh-CN"/>
        </w:rPr>
        <w:t xml:space="preserve">甲方</w:t>
      </w:r>
      <w:r>
        <w:rPr>
          <w:rFonts w:hint="eastAsia" w:ascii="宋体" w:hAnsi="宋体" w:eastAsia="宋体" w:cs="宋体"/>
          <w:color w:val="auto"/>
          <w:sz w:val="21"/>
          <w:szCs w:val="24"/>
          <w:highlight w:val="none"/>
        </w:rPr>
        <w:t xml:space="preserve">。</w:t>
      </w:r>
      <w:r>
        <w:rPr>
          <w:rFonts w:hint="eastAsia" w:ascii="宋体" w:hAnsi="宋体" w:eastAsia="宋体" w:cs="宋体"/>
          <w:color w:val="auto"/>
          <w:sz w:val="21"/>
          <w:szCs w:val="24"/>
          <w:highlight w:val="none"/>
          <w:lang w:val="en-US" w:eastAsia="zh-CN"/>
        </w:rPr>
        <w:t xml:space="preserve">甲方</w:t>
      </w:r>
      <w:r>
        <w:rPr>
          <w:rFonts w:hint="eastAsia" w:ascii="宋体" w:hAnsi="宋体" w:eastAsia="宋体" w:cs="宋体"/>
          <w:color w:val="auto"/>
          <w:sz w:val="21"/>
          <w:szCs w:val="24"/>
          <w:highlight w:val="none"/>
        </w:rPr>
        <w:t xml:space="preserve">月末对考核评分进行记录，所得分值作为拨付车辆维修费用的依据。考核的原则是公平、公正、公开，目的是经常性保持车辆的工作效率。</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1、考核标准及实施方法：月度总分值100分，扣完为止，不计负分。每月结束后由</w:t>
      </w:r>
      <w:r>
        <w:rPr>
          <w:rFonts w:hint="eastAsia" w:ascii="宋体" w:hAnsi="宋体" w:eastAsia="宋体" w:cs="宋体"/>
          <w:color w:val="auto"/>
          <w:sz w:val="21"/>
          <w:szCs w:val="24"/>
          <w:highlight w:val="none"/>
          <w:lang w:eastAsia="zh-CN"/>
        </w:rPr>
        <w:t xml:space="preserve">甲方</w:t>
      </w:r>
      <w:r>
        <w:rPr>
          <w:rFonts w:hint="eastAsia" w:ascii="宋体" w:hAnsi="宋体" w:eastAsia="宋体" w:cs="宋体"/>
          <w:color w:val="auto"/>
          <w:sz w:val="21"/>
          <w:szCs w:val="24"/>
          <w:highlight w:val="none"/>
        </w:rPr>
        <w:t xml:space="preserve">统计考核结果，考核分数≥95分按实际费用全额支付，考核分数＜95分</w:t>
      </w:r>
      <w:r>
        <w:rPr>
          <w:rFonts w:hint="eastAsia" w:ascii="宋体" w:hAnsi="宋体" w:eastAsia="宋体" w:cs="宋体"/>
          <w:color w:val="auto"/>
          <w:sz w:val="21"/>
          <w:szCs w:val="24"/>
          <w:highlight w:val="none"/>
          <w:lang w:eastAsia="zh-CN"/>
        </w:rPr>
        <w:t xml:space="preserve">，</w:t>
      </w:r>
      <w:r>
        <w:rPr>
          <w:rFonts w:hint="eastAsia" w:ascii="宋体" w:hAnsi="宋体" w:eastAsia="宋体" w:cs="宋体"/>
          <w:color w:val="auto"/>
          <w:sz w:val="21"/>
          <w:szCs w:val="24"/>
          <w:highlight w:val="none"/>
        </w:rPr>
        <w:t xml:space="preserve">按照在95分基础上</w:t>
      </w:r>
      <w:r>
        <w:rPr>
          <w:rFonts w:hint="eastAsia" w:ascii="宋体" w:hAnsi="宋体" w:eastAsia="宋体" w:cs="宋体"/>
          <w:color w:val="auto"/>
          <w:sz w:val="21"/>
          <w:szCs w:val="24"/>
          <w:highlight w:val="none"/>
          <w:lang w:val="en-US" w:eastAsia="zh-CN"/>
        </w:rPr>
        <w:t xml:space="preserve">少</w:t>
      </w:r>
      <w:r>
        <w:rPr>
          <w:rFonts w:hint="eastAsia" w:ascii="宋体" w:hAnsi="宋体" w:eastAsia="宋体" w:cs="宋体"/>
          <w:color w:val="auto"/>
          <w:sz w:val="21"/>
          <w:szCs w:val="24"/>
          <w:highlight w:val="none"/>
        </w:rPr>
        <w:t xml:space="preserve">1分从月维修费中扣除1000元，</w:t>
      </w:r>
      <w:r>
        <w:rPr>
          <w:rFonts w:hint="eastAsia" w:ascii="宋体" w:hAnsi="宋体" w:eastAsia="宋体" w:cs="宋体"/>
          <w:color w:val="auto"/>
          <w:sz w:val="21"/>
          <w:szCs w:val="24"/>
          <w:highlight w:val="none"/>
          <w:lang w:val="en-US" w:eastAsia="zh-CN"/>
        </w:rPr>
        <w:t xml:space="preserve">以此类推，</w:t>
      </w:r>
      <w:r>
        <w:rPr>
          <w:rFonts w:hint="eastAsia" w:ascii="宋体" w:hAnsi="宋体" w:eastAsia="宋体" w:cs="宋体"/>
          <w:color w:val="auto"/>
          <w:sz w:val="21"/>
          <w:szCs w:val="24"/>
          <w:highlight w:val="none"/>
        </w:rPr>
        <w:t xml:space="preserve">扣完为止。</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3、签订维修合同后，根据乙方的优惠价格、服务承诺及维修质量在合同期内进行车辆维修，乙方提供的服务累计三次考核分数低于70分，甲方有权终止合同。</w:t>
      </w:r>
      <w:r/>
    </w:p>
    <w:p>
      <w:pPr>
        <w:ind w:firstLine="420"/>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color w:val="auto"/>
          <w:sz w:val="21"/>
          <w:szCs w:val="24"/>
          <w:highlight w:val="none"/>
        </w:rPr>
        <w:outlineLvl w:val="0"/>
      </w:pPr>
      <w:r>
        <w:rPr>
          <w:rFonts w:hint="eastAsia" w:ascii="宋体" w:hAnsi="宋体" w:eastAsia="宋体" w:cs="宋体"/>
          <w:color w:val="auto"/>
          <w:sz w:val="21"/>
          <w:szCs w:val="24"/>
          <w:highlight w:val="none"/>
        </w:rPr>
        <w:t xml:space="preserve">4、提供配件目录以外的配件，均不超出市场实际均价，甲方将对结算清单进行抽查、考核，抽查发现提供配件远超市场实际均价，先行更正，并扣除</w:t>
      </w:r>
      <w:r>
        <w:rPr>
          <w:rFonts w:hint="eastAsia" w:ascii="宋体" w:hAnsi="宋体" w:eastAsia="宋体" w:cs="宋体"/>
          <w:color w:val="auto"/>
          <w:sz w:val="21"/>
          <w:szCs w:val="24"/>
          <w:highlight w:val="none"/>
          <w:lang w:val="en-US" w:eastAsia="zh-CN"/>
        </w:rPr>
        <w:t xml:space="preserve">乙方当月结算金额的10%</w:t>
      </w:r>
      <w:r>
        <w:rPr>
          <w:rFonts w:hint="eastAsia" w:ascii="宋体" w:hAnsi="宋体" w:eastAsia="宋体" w:cs="宋体"/>
          <w:color w:val="auto"/>
          <w:sz w:val="21"/>
          <w:szCs w:val="24"/>
          <w:highlight w:val="none"/>
        </w:rPr>
        <w:t xml:space="preserve">，年度内累计</w:t>
      </w:r>
      <w:r>
        <w:rPr>
          <w:rFonts w:hint="eastAsia" w:ascii="宋体" w:hAnsi="宋体" w:eastAsia="宋体" w:cs="宋体"/>
          <w:color w:val="auto"/>
          <w:sz w:val="21"/>
          <w:szCs w:val="24"/>
          <w:highlight w:val="none"/>
          <w:lang w:val="en-US" w:eastAsia="zh-CN"/>
        </w:rPr>
        <w:t xml:space="preserve">3</w:t>
      </w:r>
      <w:r>
        <w:rPr>
          <w:rFonts w:hint="eastAsia" w:ascii="宋体" w:hAnsi="宋体" w:eastAsia="宋体" w:cs="宋体"/>
          <w:color w:val="auto"/>
          <w:sz w:val="21"/>
          <w:szCs w:val="24"/>
          <w:highlight w:val="none"/>
        </w:rPr>
        <w:t xml:space="preserve">次及以上，甲方有权终止合同。</w:t>
      </w:r>
      <w:r/>
    </w:p>
    <w:p>
      <w:pPr>
        <w:ind w:firstLine="422"/>
        <w:jc w:val="left"/>
        <w:keepLines w:val="0"/>
        <w:keepNext w:val="0"/>
        <w:pageBreakBefore w:val="0"/>
        <w:spacing w:line="360" w:lineRule="auto"/>
        <w:widowControl w:val="off"/>
        <w:tabs>
          <w:tab w:val="left" w:pos="307" w:leader="none"/>
          <w:tab w:val="left" w:pos="567" w:leader="none"/>
        </w:tabs>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七</w:t>
      </w:r>
      <w:r>
        <w:rPr>
          <w:rFonts w:hint="eastAsia" w:ascii="宋体" w:hAnsi="宋体" w:eastAsia="宋体" w:cs="宋体"/>
          <w:b/>
          <w:bCs/>
          <w:color w:val="auto"/>
          <w:sz w:val="21"/>
          <w:szCs w:val="24"/>
          <w:highlight w:val="none"/>
        </w:rPr>
        <w:t xml:space="preserve">、索赔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1、甲方有权根据当地产品质量检验机构或其他 有权部门出具的检验证书向乙方提出索赔；</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2、在本合同规定的检验期限和质量保证期内，如果乙方对甲方提出的索赔或差异有责任，则乙方应按甲方同意的下列一种或多种方式解决索赔事宜；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3、根据维修质量的低劣程度、损坏程度以及甲方遭受损失的数额，经双方协商确定不低于成本的价格赔偿；</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4、使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按照行业规定的质保期为基础，增加保质期不低于10天。</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八</w:t>
      </w:r>
      <w:r>
        <w:rPr>
          <w:rFonts w:hint="eastAsia" w:ascii="宋体" w:hAnsi="宋体" w:eastAsia="宋体" w:cs="宋体"/>
          <w:b/>
          <w:bCs/>
          <w:color w:val="auto"/>
          <w:sz w:val="21"/>
          <w:szCs w:val="24"/>
          <w:highlight w:val="none"/>
        </w:rPr>
        <w:t xml:space="preserve">、合同的解除和转让</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1、甲方和乙方协商一致，可以解除合同；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2、有下列情形之一，合同一方可以解除合同：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（1）因不可抗力致使不能实现合同目的，未受不可抗力影响的一方有权解除合同；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（2）因合同一方违约导致合同不能履行，另一方有权解除合同；</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（3）有权解除合同的一方，应当在违约事实或不可抗力发生之后三十天内书面通知对方以主张解除合同，合同在书面通知到达对方时解除；</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3、合同的部分和全部都不得转让。</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4"/>
          <w:highlight w:val="none"/>
        </w:rPr>
        <w:outlineLvl w:val="0"/>
      </w:pPr>
      <w:r>
        <w:rPr>
          <w:rFonts w:hint="eastAsia" w:ascii="宋体" w:hAnsi="宋体" w:eastAsia="宋体" w:cs="宋体"/>
          <w:b/>
          <w:bCs/>
          <w:color w:val="auto"/>
          <w:sz w:val="21"/>
          <w:szCs w:val="24"/>
          <w:highlight w:val="none"/>
          <w:lang w:val="en-US" w:eastAsia="zh-CN"/>
        </w:rPr>
        <w:t xml:space="preserve">九</w:t>
      </w:r>
      <w:r>
        <w:rPr>
          <w:rFonts w:hint="eastAsia" w:ascii="宋体" w:hAnsi="宋体" w:eastAsia="宋体" w:cs="宋体"/>
          <w:b/>
          <w:bCs/>
          <w:color w:val="auto"/>
          <w:sz w:val="21"/>
          <w:szCs w:val="24"/>
          <w:highlight w:val="none"/>
        </w:rPr>
        <w:t xml:space="preserve">、合同的生效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1、合同经供需双方代表签字、加盖公章（或合同章）后生效，至网上系统备案。</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合同签订，备案生效后供需双方即直接产生权利与义务的关系，合同执行过程中出现的问题应按照《民法典》的规定办理。在合同履行过程中，双方如有争议，则任何一方均可向需方所在地人民法院提起诉讼。</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合同在执行过程中出现的未尽事宜，双方应在不违背本合同和需方采购目的的原则下协商解决，协商结果以书面形式盖章记录在案，并提交代理机构一份备存，作为本合同的附件，与本合同具有同等的法律效力。</w:t>
      </w:r>
      <w:r/>
    </w:p>
    <w:p>
      <w:pPr>
        <w:ind w:firstLine="422"/>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b/>
          <w:bCs/>
          <w:color w:val="auto"/>
          <w:sz w:val="21"/>
          <w:szCs w:val="24"/>
          <w:highlight w:val="none"/>
          <w:lang w:val="en-US" w:eastAsia="zh-CN"/>
        </w:rPr>
        <w:t xml:space="preserve">十</w:t>
      </w:r>
      <w:r>
        <w:rPr>
          <w:rFonts w:hint="eastAsia" w:ascii="宋体" w:hAnsi="宋体" w:eastAsia="宋体" w:cs="宋体"/>
          <w:b/>
          <w:bCs/>
          <w:color w:val="auto"/>
          <w:sz w:val="21"/>
          <w:szCs w:val="24"/>
          <w:highlight w:val="none"/>
        </w:rPr>
        <w:t xml:space="preserve">、争议的解决</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甲乙双方因合同发生争议，应在代理机构的主持下进行调解，协商不成，任何一方可以向甲方所在地人民法院起诉。</w:t>
      </w:r>
      <w:r/>
    </w:p>
    <w:p>
      <w:pPr>
        <w:ind w:firstLine="422"/>
        <w:jc w:val="left"/>
        <w:keepLines w:val="0"/>
        <w:keepNext w:val="0"/>
        <w:pageBreakBefore w:val="0"/>
        <w:spacing w:line="360" w:lineRule="auto"/>
        <w:widowControl w:val="off"/>
        <w:rPr>
          <w:rFonts w:hint="eastAsia" w:ascii="宋体" w:hAnsi="宋体" w:eastAsia="宋体" w:cs="宋体"/>
          <w:b/>
          <w:bCs/>
          <w:color w:val="auto"/>
          <w:sz w:val="21"/>
          <w:szCs w:val="24"/>
          <w:highlight w:val="none"/>
        </w:rPr>
      </w:pPr>
      <w:r>
        <w:rPr>
          <w:rFonts w:hint="eastAsia" w:ascii="宋体" w:hAnsi="宋体" w:eastAsia="宋体" w:cs="宋体"/>
          <w:b/>
          <w:bCs/>
          <w:color w:val="auto"/>
          <w:sz w:val="21"/>
          <w:szCs w:val="24"/>
          <w:highlight w:val="none"/>
        </w:rPr>
        <w:t xml:space="preserve">十</w:t>
      </w:r>
      <w:r>
        <w:rPr>
          <w:rFonts w:hint="eastAsia" w:ascii="宋体" w:hAnsi="宋体" w:eastAsia="宋体" w:cs="宋体"/>
          <w:b/>
          <w:bCs/>
          <w:color w:val="auto"/>
          <w:sz w:val="21"/>
          <w:szCs w:val="24"/>
          <w:highlight w:val="none"/>
          <w:lang w:val="en-US" w:eastAsia="zh-CN"/>
        </w:rPr>
        <w:t xml:space="preserve">一</w:t>
      </w:r>
      <w:r>
        <w:rPr>
          <w:rFonts w:hint="eastAsia" w:ascii="宋体" w:hAnsi="宋体" w:eastAsia="宋体" w:cs="宋体"/>
          <w:b/>
          <w:bCs/>
          <w:color w:val="auto"/>
          <w:sz w:val="21"/>
          <w:szCs w:val="24"/>
          <w:highlight w:val="none"/>
        </w:rPr>
        <w:t xml:space="preserve">、附则</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1、合同份数</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本合同一式八份，甲方五份，乙方贰份，招标代理一份。</w:t>
      </w:r>
      <w:r/>
    </w:p>
    <w:p>
      <w:pPr>
        <w:ind w:firstLine="420"/>
        <w:jc w:val="left"/>
        <w:keepLines w:val="0"/>
        <w:keepNext w:val="0"/>
        <w:pageBreakBefore w:val="0"/>
        <w:spacing w:line="360" w:lineRule="auto"/>
        <w:widowControl w:val="off"/>
        <w:tabs>
          <w:tab w:val="left" w:pos="502" w:leader="none"/>
        </w:tabs>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2、未尽事宜：</w:t>
      </w:r>
      <w:r/>
    </w:p>
    <w:p>
      <w:pPr>
        <w:ind w:firstLine="420"/>
        <w:jc w:val="left"/>
        <w:keepLines w:val="0"/>
        <w:keepNext w:val="0"/>
        <w:pageBreakBefore w:val="0"/>
        <w:spacing w:line="360" w:lineRule="auto"/>
        <w:widowControl w:val="off"/>
        <w:rPr>
          <w:rFonts w:hint="eastAsia"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本合同未尽事宜应按《中华人民共和国民法典》以及其同相关法律、法规之规定解释。</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甲方（采购人）：（盖章）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乙方（供应商）：（盖章）</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代表人（盖章</w:t>
      </w:r>
      <w:r>
        <w:rPr>
          <w:rFonts w:hint="eastAsia" w:ascii="Times New Roman" w:hAnsi="Times New Roman" w:eastAsia="宋体" w:cs="宋体"/>
          <w:color w:val="auto"/>
          <w:sz w:val="21"/>
          <w:szCs w:val="24"/>
          <w:highlight w:val="none"/>
          <w:lang w:val="en-US" w:eastAsia="zh-CN"/>
        </w:rPr>
        <w:t xml:space="preserve">/签字</w:t>
      </w:r>
      <w:r>
        <w:rPr>
          <w:rFonts w:hint="eastAsia" w:ascii="Times New Roman" w:hAnsi="Times New Roman" w:eastAsia="宋体" w:cs="宋体"/>
          <w:color w:val="auto"/>
          <w:sz w:val="21"/>
          <w:szCs w:val="24"/>
          <w:highlight w:val="none"/>
        </w:rPr>
        <w:t xml:space="preserve">）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代表人（盖章</w:t>
      </w:r>
      <w:r>
        <w:rPr>
          <w:rFonts w:hint="eastAsia" w:ascii="Times New Roman" w:hAnsi="Times New Roman" w:eastAsia="宋体" w:cs="宋体"/>
          <w:color w:val="auto"/>
          <w:sz w:val="21"/>
          <w:szCs w:val="24"/>
          <w:highlight w:val="none"/>
          <w:lang w:val="en-US" w:eastAsia="zh-CN"/>
        </w:rPr>
        <w:t xml:space="preserve">/签字</w:t>
      </w:r>
      <w:r>
        <w:rPr>
          <w:rFonts w:hint="eastAsia" w:ascii="Times New Roman" w:hAnsi="Times New Roman" w:eastAsia="宋体" w:cs="宋体"/>
          <w:color w:val="auto"/>
          <w:sz w:val="21"/>
          <w:szCs w:val="24"/>
          <w:highlight w:val="none"/>
        </w:rPr>
        <w:t xml:space="preserve">） ：</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电    话：</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w:t>
      </w:r>
      <w:r>
        <w:rPr>
          <w:rFonts w:hint="eastAsia" w:ascii="Times New Roman" w:hAnsi="Times New Roman" w:eastAsia="宋体" w:cs="宋体"/>
          <w:color w:val="auto"/>
          <w:sz w:val="21"/>
          <w:szCs w:val="24"/>
          <w:highlight w:val="none"/>
          <w:lang w:val="en-US" w:eastAsia="zh-CN"/>
        </w:rPr>
        <w:t xml:space="preserve">   </w:t>
      </w:r>
      <w:r>
        <w:rPr>
          <w:rFonts w:hint="eastAsia" w:ascii="Times New Roman" w:hAnsi="Times New Roman" w:eastAsia="宋体" w:cs="宋体"/>
          <w:color w:val="auto"/>
          <w:sz w:val="21"/>
          <w:szCs w:val="24"/>
          <w:highlight w:val="none"/>
        </w:rPr>
        <w:t xml:space="preserve">电    话：</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开户银行：                     </w:t>
      </w:r>
      <w:r>
        <w:rPr>
          <w:rFonts w:hint="eastAsia" w:ascii="Times New Roman" w:hAnsi="Times New Roman" w:eastAsia="宋体" w:cs="宋体"/>
          <w:color w:val="auto"/>
          <w:sz w:val="21"/>
          <w:szCs w:val="24"/>
          <w:highlight w:val="none"/>
          <w:lang w:val="en-US" w:eastAsia="zh-CN"/>
        </w:rPr>
        <w:t xml:space="preserve">   </w:t>
      </w:r>
      <w:r>
        <w:rPr>
          <w:rFonts w:hint="eastAsia" w:ascii="Times New Roman" w:hAnsi="Times New Roman" w:eastAsia="宋体" w:cs="宋体"/>
          <w:color w:val="auto"/>
          <w:sz w:val="21"/>
          <w:szCs w:val="24"/>
          <w:highlight w:val="none"/>
        </w:rPr>
        <w:t xml:space="preserve">开户银行：</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cs="宋体"/>
          <w:color w:val="auto"/>
          <w:sz w:val="21"/>
          <w:szCs w:val="24"/>
          <w:highlight w:val="none"/>
          <w:lang w:eastAsia="zh-CN"/>
        </w:rPr>
        <w:t xml:space="preserve">账</w:t>
      </w:r>
      <w:r>
        <w:rPr>
          <w:rFonts w:hint="eastAsia" w:ascii="Times New Roman" w:hAnsi="Times New Roman" w:eastAsia="宋体" w:cs="宋体"/>
          <w:color w:val="auto"/>
          <w:sz w:val="21"/>
          <w:szCs w:val="24"/>
          <w:highlight w:val="none"/>
        </w:rPr>
        <w:t xml:space="preserve">    号：                    </w:t>
      </w:r>
      <w:r>
        <w:rPr>
          <w:rFonts w:hint="eastAsia" w:ascii="Times New Roman" w:hAnsi="Times New Roman" w:eastAsia="宋体" w:cs="宋体"/>
          <w:color w:val="auto"/>
          <w:sz w:val="21"/>
          <w:szCs w:val="24"/>
          <w:highlight w:val="none"/>
        </w:rPr>
        <w:tab/>
      </w:r>
      <w:r>
        <w:rPr>
          <w:rFonts w:hint="eastAsia" w:ascii="Times New Roman" w:hAnsi="Times New Roman" w:eastAsia="宋体" w:cs="宋体"/>
          <w:color w:val="auto"/>
          <w:sz w:val="21"/>
          <w:szCs w:val="24"/>
          <w:highlight w:val="none"/>
        </w:rPr>
        <w:t xml:space="preserve">   </w:t>
      </w:r>
      <w:r>
        <w:rPr>
          <w:rFonts w:hint="eastAsia" w:cs="宋体"/>
          <w:color w:val="auto"/>
          <w:sz w:val="21"/>
          <w:szCs w:val="24"/>
          <w:highlight w:val="none"/>
          <w:lang w:eastAsia="zh-CN"/>
        </w:rPr>
        <w:t xml:space="preserve">账</w:t>
      </w:r>
      <w:r>
        <w:rPr>
          <w:rFonts w:hint="eastAsia" w:ascii="Times New Roman" w:hAnsi="Times New Roman" w:eastAsia="宋体" w:cs="宋体"/>
          <w:color w:val="auto"/>
          <w:sz w:val="21"/>
          <w:szCs w:val="24"/>
          <w:highlight w:val="none"/>
        </w:rPr>
        <w:t xml:space="preserve">    号：</w:t>
      </w:r>
      <w:r/>
    </w:p>
    <w:p>
      <w:pPr>
        <w:ind w:firstLine="420"/>
        <w:jc w:val="left"/>
        <w:spacing w:line="360" w:lineRule="auto"/>
        <w:widowControl w:val="off"/>
        <w:rPr>
          <w:rFonts w:hint="eastAsia" w:ascii="Times New Roman" w:hAnsi="Times New Roman" w:eastAsia="宋体" w:cs="宋体"/>
          <w:color w:val="auto"/>
          <w:sz w:val="21"/>
          <w:szCs w:val="24"/>
          <w:highlight w:val="none"/>
        </w:rPr>
      </w:pPr>
      <w:r>
        <w:rPr>
          <w:rFonts w:hint="eastAsia" w:ascii="Times New Roman" w:hAnsi="Times New Roman" w:eastAsia="宋体" w:cs="宋体"/>
          <w:color w:val="auto"/>
          <w:sz w:val="21"/>
          <w:szCs w:val="24"/>
          <w:highlight w:val="none"/>
        </w:rPr>
        <w:t xml:space="preserve">日期： 年 月 日                   日期：  年  月  日</w:t>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jc w:val="both"/>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jc w:val="both"/>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附件</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w:t>
      </w:r>
      <w:r/>
    </w:p>
    <w:tbl>
      <w:tblPr>
        <w:tblStyle w:val="958"/>
        <w:tblW w:w="9299" w:type="dxa"/>
        <w:tblInd w:w="9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
        <w:gridCol w:w="515"/>
        <w:gridCol w:w="168"/>
        <w:gridCol w:w="38"/>
        <w:gridCol w:w="1041"/>
        <w:gridCol w:w="787"/>
        <w:gridCol w:w="56"/>
        <w:gridCol w:w="1660"/>
        <w:gridCol w:w="46"/>
        <w:gridCol w:w="835"/>
        <w:gridCol w:w="712"/>
        <w:gridCol w:w="47"/>
        <w:gridCol w:w="413"/>
        <w:gridCol w:w="628"/>
        <w:gridCol w:w="47"/>
        <w:gridCol w:w="150"/>
        <w:gridCol w:w="2155"/>
      </w:tblGrid>
      <w:tr>
        <w:trPr>
          <w:gridBefore w:val="1"/>
          <w:trHeight w:val="312"/>
        </w:trPr>
        <w:tc>
          <w:tcPr>
            <w:gridSpan w:val="16"/>
            <w:shd w:val="clear" w:color="auto" w:fill="auto"/>
            <w:tcBorders>
              <w:top w:val="single" w:color="000000" w:sz="4" w:space="0"/>
              <w:left w:val="single" w:color="000000" w:sz="4" w:space="0"/>
              <w:bottom w:val="single" w:color="000000" w:sz="4" w:space="0"/>
              <w:right w:val="single" w:color="000000" w:sz="4" w:space="0"/>
            </w:tcBorders>
            <w:tcW w:w="929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采购包1：港城环卫所车辆明细表</w:t>
            </w:r>
            <w:r/>
          </w:p>
        </w:tc>
      </w:tr>
      <w:tr>
        <w:trPr>
          <w:gridBefore w:val="1"/>
          <w:trHeight w:val="580"/>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车牌号码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车辆产权单位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排放标准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车辆类型</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苏URN316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苏E202JF</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皮卡</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苏EK8151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5T拉臂车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苏EK9758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苏EK8802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苏EK6388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苏EK9991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苏E6N248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苏EZW258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苏EKC292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苏ECV879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苏EUB696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vMerge w:val="continue"/>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苏EYM230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苏EZW396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苏E6M485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苏EQQ961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苏E6F438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苏E6Q489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苏EZW358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苏EZW333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苏EZW316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苏EAK253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苏E6H858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苏EYC885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苏EYC889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苏E6K581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1#小扫地车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2#小扫地车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苏EX3390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道板车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苏EV8953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道板车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1#扫街王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扫街王</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扫街王</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2#扫街王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扫街王</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扫街王</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苏EAM316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抑尘车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苏EYC860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护栏车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苏EPR199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苏EPR186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工程车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苏EWE820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对接垃圾车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压缩式对接垃圾车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苏ELW813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对接垃圾车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压缩式对接垃圾车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苏EEL165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洒水车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苏EEL187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洒水车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苏E6Q391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冲洗车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苏EPR138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5T吸粪车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9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苏EJ7213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港口开发区管理委员会</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国三</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3T装载机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装卸车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电动三轮清洁车24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电动三轮车25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淮海兰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四轮非公路用平台搬运车5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玛西尔DT1.2-B2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电动平板车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四轮蓄电池清运车4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玛西尔DHWQY-7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电动倒桶车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四轮蓄电池驳运车6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玛西尔DT1.2-B2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电动平板车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四轮蓄电池清运车8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玛西尔DHWQY-2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电动倒桶车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四轮蓄电池清运车3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玛西尔DHWQY-7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电动倒桶车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电动两轮轻便摩托车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台铃牌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巡查车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三轮快速保洁车11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快速保洁车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四轮电动倒桶车2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雅西YX-H41500HG</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电动倒桶车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三轮电动保洁车10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四轮餐厨垃圾电瓶车1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瑞保Y48L</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餐厨垃圾电瓶车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三轮挂桶电瓶车7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DT1.2-B2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三轮挂桶电动车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三轮电瓶冲洗车9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DHWQY-16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三轮电瓶冲洗车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苏EPW383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苏EYG758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苏EPR003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苏ERM839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三轮四桶电动保洁车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卫计科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DG3240C4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三轮四桶电动保洁车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卫计科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DG3240C4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三轮四桶电动保洁车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卫计科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DG3240C4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DG3500C</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苏EBX743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苏EPL665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苏EVS944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苏EHR083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苏EGR685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苏E03983D</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太仓港港口开发</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电动三轮车49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电动三轮车50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电动三轮车51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电动三轮车52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保洁车-276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保洁车-264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保洁车-121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保洁车-122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保洁车-128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保洁车-131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保洁车-129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电瓶三轮冲洗车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高压清洗车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高压清洗车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苏U9GK89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浮桥镇人民政府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电瓶三轮保洁车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72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0.5T装载车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装卸车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30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装卸车</w:t>
            </w:r>
            <w:bookmarkEnd w:id="29"/>
            <w:r/>
            <w:r/>
          </w:p>
        </w:tc>
      </w:tr>
      <w:tr>
        <w:trPr>
          <w:trHeight w:val="270"/>
        </w:trPr>
        <w:tc>
          <w:tcPr>
            <w:gridSpan w:val="17"/>
            <w:shd w:val="clear" w:color="auto" w:fill="auto"/>
            <w:tcBorders>
              <w:top w:val="single" w:color="000000" w:sz="4" w:space="0"/>
              <w:left w:val="single" w:color="000000" w:sz="4" w:space="0"/>
              <w:bottom w:val="single" w:color="000000" w:sz="4" w:space="0"/>
              <w:right w:val="single" w:color="000000" w:sz="4" w:space="0"/>
            </w:tcBorders>
            <w:tcW w:w="9299"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采购包1：浏家港环卫所车辆明细表</w:t>
            </w:r>
            <w:r/>
          </w:p>
        </w:tc>
      </w:tr>
      <w:tr>
        <w:trPr>
          <w:trHeight w:val="503"/>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车牌号码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车辆产权单位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排放标准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车辆类型</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苏E278KW</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0.5T吸粪车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苏EK6236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苏EBG980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苏EJJ066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苏ESV796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中型特殊结构货车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苏EJB528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苏E5W70D</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自卸车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轻型自卸货车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苏EZW270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自卸车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常林轮式装载机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2404161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苏EEL123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洒水车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1.5T扫路车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1.5T扫路车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1.5T扫路车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苏E20C6D</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苏U8W902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道板养护车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苏EZW316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8吨洗扫车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苏EQQ961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8吨洗扫车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苏EPW383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3吨扫地车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苏ERM839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港城环卫所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压缩式垃圾场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苏EQT806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港口开发投资公司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清洁车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苏EAZ221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港口开发投资公司</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吸粪车</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1号三轮冲洗车</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三轮冲洗车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三轮冲洗车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2号三轮冲洗车</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三轮冲洗车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汽油</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三轮冲洗车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DG3400C</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BJ301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BJ301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BJ301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电动三轮保洁车9</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BJ301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电动三轮六桶车10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ZT-F301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电动三轮六桶车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电动四轮保洁车11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TZC-8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电动四轮保洁车12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TZC-8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电动四轮保洁车</w:t>
            </w:r>
            <w:r/>
          </w:p>
        </w:tc>
      </w:tr>
      <w:tr>
        <w:trPr>
          <w:trHeight w:val="405"/>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电动四轮倒桶车13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FT4402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电动四轮倒桶车14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DHWQY-7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电动四轮平板车15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DT1.2-B2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电动四轮平板车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电动四轮倒桶车16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FT4301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电动四轮倒桶车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电动三轮保洁车17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电动四轮八桶车18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GD-4208-B</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电动四轮八桶车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电动四轮八桶车19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GD-4208-B</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电动四轮八桶车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电动三轮六桶车20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电动三轮四桶车27</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电动三轮四桶车28</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电动三轮四桶车29</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电动三轮四桶车30</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bottom"/>
            <w:textDirection w:val="lrTb"/>
            <w:noWrap/>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电动三轮四桶车31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DG3240C4</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三轮扫地车-1</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电动三轮保洁车32</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电动三轮保洁车33</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电动三轮保洁车34</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电动三轮保洁车35</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电动三轮保洁车36</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63</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3号三轮冲洗车</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电动三轮清洗车</w:t>
            </w:r>
            <w:r/>
          </w:p>
        </w:tc>
      </w:tr>
      <w:tr>
        <w:trPr>
          <w:trHeight w:val="409"/>
        </w:trPr>
        <w:tc>
          <w:tcPr>
            <w:gridSpan w:val="3"/>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64</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86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4号三轮冲洗车</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浏家港环卫所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593"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08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3"/>
            <w:shd w:val="clear" w:color="auto" w:fill="ffffff"/>
            <w:tcBorders>
              <w:top w:val="single" w:color="000000" w:sz="4" w:space="0"/>
              <w:left w:val="single" w:color="000000" w:sz="4" w:space="0"/>
              <w:bottom w:val="none" w:color="000000" w:sz="4" w:space="0"/>
              <w:right w:val="single" w:color="000000" w:sz="4" w:space="0"/>
            </w:tcBorders>
            <w:tcW w:w="235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电动三轮清洗车</w:t>
            </w:r>
            <w:r/>
          </w:p>
        </w:tc>
      </w:tr>
      <w:tr>
        <w:trPr>
          <w:gridBefore w:val="1"/>
          <w:trHeight w:val="210"/>
        </w:trPr>
        <w:tc>
          <w:tcPr>
            <w:gridSpan w:val="16"/>
            <w:shd w:val="clear" w:color="auto" w:fill="ffffff"/>
            <w:tcBorders>
              <w:top w:val="single" w:color="000000" w:sz="4" w:space="0"/>
              <w:left w:val="single" w:color="000000" w:sz="4" w:space="0"/>
              <w:bottom w:val="single" w:color="000000" w:sz="4" w:space="0"/>
              <w:right w:val="single" w:color="000000" w:sz="4" w:space="0"/>
            </w:tcBorders>
            <w:tcW w:w="9298" w:type="dxa"/>
            <w:vAlign w:val="center"/>
            <w:vMerge w:val="restart"/>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采购包2：金浪环卫所车辆明细表</w:t>
            </w:r>
            <w:r/>
          </w:p>
        </w:tc>
      </w:tr>
      <w:tr>
        <w:trPr>
          <w:gridBefore w:val="1"/>
          <w:trHeight w:val="4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车牌号码</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车辆产权单位</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车辆名称</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排放标准</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车辆类型</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苏EK8288</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苏E6T934</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苏EYC890</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苏EKY500</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苏EFF887</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non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苏EQG703</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苏EK3369</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5T拉臂车</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shd w:val="clear" w:color="auto" w:fill="ffffff"/>
            <w:tcBorders>
              <w:top w:val="single" w:color="000000" w:sz="4" w:space="0"/>
              <w:left w:val="single" w:color="000000" w:sz="4" w:space="0"/>
              <w:bottom w:val="non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苏ES97T8</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2T拉臂车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轻型特殊结构货车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苏EX4U55</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2T拉臂车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轻型特殊结构货车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苏EKY522</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8T压缩式对接垃圾车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重型特殊结构货车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苏E6K911</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3T洗扫车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苏E6H870</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8T洗扫车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苏EKL780</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5T洗扫车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苏ELH570</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8T低压冲水车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重型载货专项作业车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苏EQW785</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3T吸粪车</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non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苏E00XS1</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1T吸粪车</w:t>
            </w:r>
            <w:r/>
          </w:p>
        </w:tc>
        <w:tc>
          <w:tcPr>
            <w:gridSpan w:val="3"/>
            <w:shd w:val="clear" w:color="auto" w:fill="ffffff"/>
            <w:tcBorders>
              <w:top w:val="single" w:color="000000" w:sz="4" w:space="0"/>
              <w:left w:val="single" w:color="000000" w:sz="4" w:space="0"/>
              <w:bottom w:val="non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non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苏U3U962</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路面养护车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国六</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苏E3Y96H</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微卡</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国五</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苏E381LT</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皮卡</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国四</w:t>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轻型普通货车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苏ECZ205</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江苏省太仓港港口开发建设投资有限公司</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3吨压缩车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苏ENC677</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江苏省太仓港港口开发建设投资有限公司</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3吨洗扫车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苏ENP882</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江苏省太仓港港口开发建设投资有限公司</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3吨压缩车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中型载货专项作业车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扫路机1</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扫路机1</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扫路机2</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扫路机2</w:t>
            </w:r>
            <w:r/>
          </w:p>
        </w:tc>
      </w:tr>
      <w:tr>
        <w:trPr>
          <w:gridBefore w:val="1"/>
          <w:trHeight w:val="66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装载机1</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2-AEC00962</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1.8T装载机1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1.8T装载机1</w:t>
            </w:r>
            <w:r/>
          </w:p>
        </w:tc>
      </w:tr>
      <w:tr>
        <w:trPr>
          <w:gridBefore w:val="1"/>
          <w:trHeight w:val="6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装载机2</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X-AEC01858</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3T装载机2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3T装载机2</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1.5T装载机</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装载机</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NO:01蓄电池清运车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蓄电池清运车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蓄电池清运车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NO:02电动三轮清洁车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电动三轮清洁车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NO:03电动桶装车TZC-8</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电动桶装车TZC-8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电动桶装车TZC-8</w:t>
            </w:r>
            <w:r/>
          </w:p>
        </w:tc>
      </w:tr>
      <w:tr>
        <w:trPr>
          <w:gridBefore w:val="1"/>
          <w:trHeight w:val="58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NO:04电动四轮后吊车HDSJC-4</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电动四轮后吊车HDSJC-4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电动四轮后吊车HDSJC-4</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NO:05电动四桶车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NO:06电动四桶车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NO:07电动保洁车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NO:08电动保洁车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NO:09电动三轮保洁车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NO:10电动三轮保洁车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NO:11电动三轮保洁车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NO:12电动三轮保洁车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6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NO:13电动三轮保洁车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6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NO:14电动三轮保洁车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电动三轮保洁车</w:t>
            </w:r>
            <w:r/>
          </w:p>
        </w:tc>
      </w:tr>
      <w:tr>
        <w:trPr>
          <w:gridBefore w:val="1"/>
          <w:trHeight w:val="44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NO:15电动四桶车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NO:16电动四桶车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NO:17电动四桶车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NO:18电动三轮车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NO:19电动三轮车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NO:20电动三轮车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NO:23威猛兄弟道路清扫车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NO:24威猛兄弟道路清扫车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NO:25威猛兄弟道路清扫车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gridBefore w:val="1"/>
          <w:trHeight w:val="30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NO:26威猛兄弟道路清扫车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三轮扫地车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NO:27电动正三轮摩托车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绿保安牌电动正三轮摩托车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NO:28电动正三轮摩托车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绿保安牌电动正三轮摩托车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54</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NO:29电动正三轮摩托车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绿保安牌电动正三轮摩托车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55</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NO:30电动正三轮摩托车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绿保安牌电动正三轮摩托车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56</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NO:31电动正三轮摩托车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绿保安牌电动正三轮摩托车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57</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NO:32电动正三轮摩托车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金彭牌电动正三轮摩托车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电动正三轮摩托车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NO:33电动四轮自卸车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电动四轮自卸车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电动四轮自卸车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59</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NO:34电动三轮四桶车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bottom"/>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NO:35电动三轮四桶车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61</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NO:36电动三轮四桶车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bottom"/>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r>
        <w:trPr>
          <w:gridBefore w:val="1"/>
          <w:trHeight w:val="210"/>
        </w:trPr>
        <w:tc>
          <w:tcPr>
            <w:shd w:val="clear" w:color="auto" w:fill="ffffff"/>
            <w:tcBorders>
              <w:top w:val="single" w:color="000000" w:sz="4" w:space="0"/>
              <w:left w:val="single" w:color="000000" w:sz="4" w:space="0"/>
              <w:bottom w:val="single" w:color="000000" w:sz="4" w:space="0"/>
              <w:right w:val="single" w:color="000000" w:sz="4" w:space="0"/>
            </w:tcBorders>
            <w:tcW w:w="515"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247"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NO:37电动三轮四桶车</w:t>
            </w:r>
            <w:r/>
          </w:p>
        </w:tc>
        <w:tc>
          <w:tcPr>
            <w:gridSpan w:val="5"/>
            <w:shd w:val="clear" w:color="auto" w:fill="ffffff"/>
            <w:tcBorders>
              <w:top w:val="single" w:color="000000" w:sz="4" w:space="0"/>
              <w:left w:val="single" w:color="000000" w:sz="4" w:space="0"/>
              <w:bottom w:val="single" w:color="000000" w:sz="4" w:space="0"/>
              <w:right w:val="single" w:color="000000" w:sz="4" w:space="0"/>
            </w:tcBorders>
            <w:tcW w:w="3384"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太仓市浮桥镇金浪环境卫生管理所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1172"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c>
          <w:tcPr>
            <w:gridSpan w:val="3"/>
            <w:shd w:val="clear" w:color="auto" w:fill="ffffff"/>
            <w:tcBorders>
              <w:top w:val="single" w:color="000000" w:sz="4" w:space="0"/>
              <w:left w:val="single" w:color="000000" w:sz="4" w:space="0"/>
              <w:bottom w:val="single" w:color="000000" w:sz="4" w:space="0"/>
              <w:right w:val="single" w:color="000000" w:sz="4" w:space="0"/>
            </w:tcBorders>
            <w:tcW w:w="825" w:type="dxa"/>
            <w:vAlign w:val="bottom"/>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155" w:type="dxa"/>
            <w:vAlign w:val="bottom"/>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电动三轮四桶车</w:t>
            </w:r>
            <w:r/>
          </w:p>
        </w:tc>
      </w:tr>
    </w:tbl>
    <w:p>
      <w:pPr>
        <w:spacing w:line="360" w:lineRule="auto"/>
        <w:widowControl/>
        <w:rPr>
          <w:rFonts w:hAnsi="宋体"/>
          <w:color w:val="auto"/>
          <w:sz w:val="21"/>
          <w:szCs w:val="21"/>
          <w:highlight w:val="none"/>
        </w:rPr>
        <w:sectPr>
          <w:headerReference w:type="default" r:id="rId11"/>
          <w:footerReference w:type="default" r:id="rId14"/>
          <w:footnotePr/>
          <w:endnotePr/>
          <w:type w:val="nextPage"/>
          <w:pgSz w:w="11906" w:h="16838" w:orient="portrait"/>
          <w:pgMar w:top="1417" w:right="1417" w:bottom="1417" w:left="1417" w:header="851" w:footer="992" w:gutter="0"/>
          <w:cols w:num="1" w:sep="0" w:space="1701" w:equalWidth="1"/>
          <w:docGrid w:linePitch="360"/>
        </w:sectPr>
      </w:pPr>
      <w:r>
        <w:rPr>
          <w:rFonts w:hAnsi="宋体"/>
          <w:color w:val="auto"/>
          <w:sz w:val="21"/>
          <w:szCs w:val="21"/>
          <w:highlight w:val="none"/>
        </w:rPr>
      </w:r>
      <w:bookmarkEnd w:id="26"/>
      <w:r/>
      <w:bookmarkEnd w:id="27"/>
      <w:r/>
      <w:bookmarkEnd w:id="28"/>
      <w:r/>
      <w:r/>
    </w:p>
    <w:p>
      <w:pPr>
        <w:pStyle w:val="1047"/>
        <w:ind w:firstLine="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附件</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p>
    <w:p>
      <w:pPr>
        <w:jc w:val="center"/>
        <w:keepLines/>
        <w:keepNext/>
        <w:spacing w:before="320" w:after="200"/>
        <w:widowControl w:val="off"/>
        <w:rPr>
          <w:rFonts w:hint="eastAsia" w:ascii="微软雅黑" w:hAnsi="微软雅黑" w:eastAsia="微软雅黑" w:cs="微软雅黑"/>
          <w:color w:val="auto"/>
          <w:sz w:val="36"/>
          <w:szCs w:val="36"/>
          <w:highlight w:val="none"/>
        </w:rPr>
        <w:outlineLvl w:val="2"/>
      </w:pPr>
      <w:r>
        <w:rPr>
          <w:rFonts w:hint="eastAsia" w:ascii="微软雅黑" w:hAnsi="微软雅黑" w:eastAsia="微软雅黑" w:cs="微软雅黑"/>
          <w:color w:val="auto"/>
          <w:sz w:val="36"/>
          <w:szCs w:val="36"/>
          <w:highlight w:val="none"/>
        </w:rPr>
        <w:t xml:space="preserve">政府采购履约验收通知单（参考样本）</w:t>
      </w:r>
      <w:r/>
    </w:p>
    <w:p>
      <w:pPr>
        <w:ind w:left="85"/>
        <w:spacing w:before="216" w:line="214" w:lineRule="auto"/>
        <w:rPr>
          <w:rFonts w:ascii="宋体" w:hAnsi="宋体" w:cs="宋体"/>
          <w:color w:val="auto"/>
          <w:sz w:val="21"/>
          <w:szCs w:val="21"/>
          <w:highlight w:val="none"/>
          <w:lang w:eastAsia="en-US"/>
        </w:rPr>
      </w:pPr>
      <w:r>
        <w:rPr>
          <w:rFonts w:hint="eastAsia" w:ascii="宋体" w:hAnsi="宋体" w:cs="宋体"/>
          <w:color w:val="auto"/>
          <w:spacing w:val="9"/>
          <w:sz w:val="21"/>
          <w:szCs w:val="21"/>
          <w:highlight w:val="none"/>
          <w:lang w:eastAsia="en-US"/>
        </w:rPr>
        <w:t xml:space="preserve">供应商：</w:t>
      </w:r>
      <w:r/>
    </w:p>
    <w:p>
      <w:pPr>
        <w:spacing w:line="44" w:lineRule="exact"/>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bl>
      <w:tblPr>
        <w:tblStyle w:val="95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spacing w:before="249"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采购人</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9" w:line="211"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项目名称</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合同名称</w:t>
            </w:r>
            <w:r/>
          </w:p>
        </w:tc>
        <w:tc>
          <w:tcPr>
            <w:gridSpan w:val="3"/>
            <w:tcW w:w="67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841"/>
              <w:spacing w:before="247" w:line="212"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合同编号</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7" w:line="213" w:lineRule="auto"/>
              <w:rPr>
                <w:rFonts w:ascii="宋体" w:hAnsi="宋体" w:cs="宋体"/>
                <w:color w:val="auto"/>
                <w:sz w:val="21"/>
                <w:szCs w:val="21"/>
                <w:highlight w:val="none"/>
                <w:lang w:eastAsia="en-US"/>
              </w:rPr>
            </w:pPr>
            <w:r>
              <w:rPr>
                <w:rFonts w:hint="eastAsia" w:ascii="宋体" w:hAnsi="宋体" w:cs="宋体"/>
                <w:color w:val="auto"/>
                <w:spacing w:val="2"/>
                <w:sz w:val="21"/>
                <w:szCs w:val="21"/>
                <w:highlight w:val="none"/>
                <w:lang w:eastAsia="en-US"/>
              </w:rPr>
              <w:t xml:space="preserve">合同金额</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59"/>
        </w:trPr>
        <w:tc>
          <w:tcPr>
            <w:tcW w:w="2610" w:type="dxa"/>
            <w:textDirection w:val="lrTb"/>
            <w:noWrap w:val="false"/>
          </w:tcPr>
          <w:p>
            <w:pPr>
              <w:ind w:left="841"/>
              <w:spacing w:before="248" w:line="212"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验收时间</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7"/>
              <w:spacing w:before="248" w:line="213" w:lineRule="auto"/>
              <w:rPr>
                <w:rFonts w:ascii="宋体" w:hAnsi="宋体" w:cs="宋体"/>
                <w:color w:val="auto"/>
                <w:sz w:val="21"/>
                <w:szCs w:val="21"/>
                <w:highlight w:val="none"/>
                <w:lang w:eastAsia="en-US"/>
              </w:rPr>
            </w:pPr>
            <w:r>
              <w:rPr>
                <w:rFonts w:hint="eastAsia" w:ascii="宋体" w:hAnsi="宋体" w:cs="宋体"/>
                <w:color w:val="auto"/>
                <w:spacing w:val="4"/>
                <w:sz w:val="21"/>
                <w:szCs w:val="21"/>
                <w:highlight w:val="none"/>
                <w:lang w:eastAsia="en-US"/>
              </w:rPr>
              <w:t xml:space="preserve">验收地点</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tcW w:w="2610" w:type="dxa"/>
            <w:textDirection w:val="lrTb"/>
            <w:noWrap w:val="false"/>
          </w:tcPr>
          <w:p>
            <w:pPr>
              <w:ind w:left="960"/>
              <w:spacing w:before="248" w:line="213" w:lineRule="auto"/>
              <w:rPr>
                <w:rFonts w:ascii="宋体" w:hAnsi="宋体" w:cs="宋体"/>
                <w:color w:val="auto"/>
                <w:sz w:val="21"/>
                <w:szCs w:val="21"/>
                <w:highlight w:val="none"/>
                <w:lang w:eastAsia="en-US"/>
              </w:rPr>
            </w:pPr>
            <w:r>
              <w:rPr>
                <w:rFonts w:hint="eastAsia" w:ascii="宋体" w:hAnsi="宋体" w:cs="宋体"/>
                <w:color w:val="auto"/>
                <w:spacing w:val="1"/>
                <w:sz w:val="21"/>
                <w:szCs w:val="21"/>
                <w:highlight w:val="none"/>
                <w:lang w:eastAsia="en-US"/>
              </w:rPr>
              <w:t xml:space="preserve">联系人</w:t>
            </w:r>
            <w:r/>
          </w:p>
        </w:tc>
        <w:tc>
          <w:tcPr>
            <w:tcW w:w="1961"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c>
          <w:tcPr>
            <w:tcW w:w="2139" w:type="dxa"/>
            <w:textDirection w:val="lrTb"/>
            <w:noWrap w:val="false"/>
          </w:tcPr>
          <w:p>
            <w:pPr>
              <w:ind w:left="605"/>
              <w:spacing w:before="248" w:line="213" w:lineRule="auto"/>
              <w:rPr>
                <w:rFonts w:ascii="宋体" w:hAnsi="宋体" w:cs="宋体"/>
                <w:color w:val="auto"/>
                <w:sz w:val="21"/>
                <w:szCs w:val="21"/>
                <w:highlight w:val="none"/>
                <w:lang w:eastAsia="en-US"/>
              </w:rPr>
            </w:pPr>
            <w:r>
              <w:rPr>
                <w:rFonts w:hint="eastAsia" w:ascii="宋体" w:hAnsi="宋体" w:cs="宋体"/>
                <w:color w:val="auto"/>
                <w:spacing w:val="3"/>
                <w:sz w:val="21"/>
                <w:szCs w:val="21"/>
                <w:highlight w:val="none"/>
                <w:lang w:eastAsia="en-US"/>
              </w:rPr>
              <w:t xml:space="preserve">联系电话</w:t>
            </w:r>
            <w:r/>
          </w:p>
        </w:tc>
        <w:tc>
          <w:tcPr>
            <w:tcW w:w="2608" w:type="dxa"/>
            <w:textDirection w:val="lrTb"/>
            <w:noWrap w:val="false"/>
          </w:tcPr>
          <w:p>
            <w:pPr>
              <w:widowControl w:val="off"/>
              <w:rPr>
                <w:rFonts w:ascii="宋体" w:hAnsi="宋体" w:cs="宋体"/>
                <w:color w:val="auto"/>
                <w:sz w:val="21"/>
                <w:szCs w:val="21"/>
                <w:highlight w:val="none"/>
                <w:lang w:eastAsia="en-US"/>
              </w:rPr>
            </w:pPr>
            <w:r>
              <w:rPr>
                <w:rFonts w:ascii="宋体" w:hAnsi="宋体" w:cs="宋体"/>
                <w:color w:val="auto"/>
                <w:sz w:val="21"/>
                <w:szCs w:val="21"/>
                <w:highlight w:val="none"/>
                <w:lang w:eastAsia="en-US"/>
              </w:rPr>
            </w:r>
            <w:r/>
          </w:p>
        </w:tc>
      </w:tr>
      <w:tr>
        <w:trPr>
          <w:trHeight w:val="560"/>
        </w:trPr>
        <w:tc>
          <w:tcPr>
            <w:gridSpan w:val="4"/>
            <w:tcW w:w="9318" w:type="dxa"/>
            <w:textDirection w:val="lrTb"/>
            <w:noWrap w:val="false"/>
          </w:tcPr>
          <w:p>
            <w:pPr>
              <w:ind w:left="3353"/>
              <w:spacing w:before="250" w:line="212" w:lineRule="auto"/>
              <w:rPr>
                <w:rFonts w:ascii="宋体" w:hAnsi="宋体" w:cs="宋体"/>
                <w:color w:val="auto"/>
                <w:sz w:val="21"/>
                <w:szCs w:val="21"/>
                <w:highlight w:val="none"/>
              </w:rPr>
            </w:pPr>
            <w:r>
              <w:rPr>
                <w:rFonts w:hint="eastAsia" w:ascii="宋体" w:hAnsi="宋体" w:cs="宋体"/>
                <w:color w:val="auto"/>
                <w:spacing w:val="7"/>
                <w:sz w:val="21"/>
                <w:szCs w:val="21"/>
                <w:highlight w:val="none"/>
              </w:rPr>
              <w:t xml:space="preserve">履约验收方案及工作要求</w:t>
            </w:r>
            <w:r/>
          </w:p>
        </w:tc>
      </w:tr>
      <w:tr>
        <w:trPr>
          <w:trHeight w:val="7569"/>
        </w:trPr>
        <w:tc>
          <w:tcPr>
            <w:gridSpan w:val="4"/>
            <w:tcW w:w="9318" w:type="dxa"/>
            <w:textDirection w:val="lrTb"/>
            <w:noWrap w:val="false"/>
          </w:tcPr>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1"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spacing w:line="242" w:lineRule="auto"/>
              <w:widowControl w:val="off"/>
              <w:rPr>
                <w:rFonts w:ascii="宋体" w:hAnsi="宋体" w:cs="宋体"/>
                <w:color w:val="auto"/>
                <w:sz w:val="21"/>
                <w:szCs w:val="21"/>
                <w:highlight w:val="none"/>
              </w:rPr>
            </w:pPr>
            <w:r>
              <w:rPr>
                <w:rFonts w:ascii="宋体" w:hAnsi="宋体" w:cs="宋体"/>
                <w:color w:val="auto"/>
                <w:sz w:val="21"/>
                <w:szCs w:val="21"/>
                <w:highlight w:val="none"/>
              </w:rPr>
            </w:r>
            <w:r/>
          </w:p>
          <w:p>
            <w:pPr>
              <w:ind w:left="5411" w:right="2893" w:hanging="54"/>
              <w:spacing w:before="75" w:line="507" w:lineRule="auto"/>
              <w:rPr>
                <w:rFonts w:ascii="宋体" w:hAnsi="宋体" w:cs="宋体"/>
                <w:color w:val="auto"/>
                <w:sz w:val="23"/>
                <w:szCs w:val="23"/>
                <w:highlight w:val="none"/>
                <w:lang w:eastAsia="en-US"/>
              </w:rPr>
            </w:pPr>
            <w:r>
              <w:rPr>
                <w:rFonts w:hint="eastAsia" w:ascii="宋体" w:hAnsi="宋体" w:cs="宋体"/>
                <w:color w:val="auto"/>
                <w:spacing w:val="3"/>
                <w:sz w:val="23"/>
                <w:szCs w:val="23"/>
                <w:highlight w:val="none"/>
                <w:lang w:eastAsia="en-US"/>
              </w:rPr>
              <w:t xml:space="preserve">单位公章</w:t>
            </w:r>
            <w:r>
              <w:rPr>
                <w:rFonts w:hint="eastAsia" w:ascii="宋体" w:hAnsi="宋体" w:cs="宋体"/>
                <w:color w:val="auto"/>
                <w:spacing w:val="-16"/>
                <w:sz w:val="23"/>
                <w:szCs w:val="23"/>
                <w:highlight w:val="none"/>
                <w:lang w:eastAsia="en-US"/>
              </w:rPr>
              <w:t xml:space="preserve">年</w:t>
            </w:r>
            <w:r>
              <w:rPr>
                <w:rFonts w:hint="eastAsia" w:ascii="宋体" w:hAnsi="宋体" w:cs="宋体"/>
                <w:color w:val="auto"/>
                <w:spacing w:val="-16"/>
                <w:sz w:val="23"/>
                <w:szCs w:val="23"/>
                <w:highlight w:val="none"/>
                <w:lang w:val="en-US" w:eastAsia="zh-CN"/>
              </w:rPr>
              <w:t xml:space="preserve">  </w:t>
            </w:r>
            <w:r>
              <w:rPr>
                <w:rFonts w:hint="eastAsia" w:ascii="宋体" w:hAnsi="宋体" w:cs="宋体"/>
                <w:color w:val="auto"/>
                <w:spacing w:val="-16"/>
                <w:sz w:val="23"/>
                <w:szCs w:val="23"/>
                <w:highlight w:val="none"/>
                <w:lang w:eastAsia="en-US"/>
              </w:rPr>
              <w:t xml:space="preserve">月</w:t>
            </w:r>
            <w:r>
              <w:rPr>
                <w:rFonts w:hint="eastAsia" w:ascii="宋体" w:hAnsi="宋体" w:cs="宋体"/>
                <w:color w:val="auto"/>
                <w:spacing w:val="-16"/>
                <w:sz w:val="23"/>
                <w:szCs w:val="23"/>
                <w:highlight w:val="none"/>
                <w:lang w:val="en-US" w:eastAsia="zh-CN"/>
              </w:rPr>
              <w:t xml:space="preserve">   </w:t>
            </w:r>
            <w:r>
              <w:rPr>
                <w:rFonts w:hint="eastAsia" w:ascii="宋体" w:hAnsi="宋体" w:cs="宋体"/>
                <w:color w:val="auto"/>
                <w:spacing w:val="-16"/>
                <w:sz w:val="23"/>
                <w:szCs w:val="23"/>
                <w:highlight w:val="none"/>
                <w:lang w:eastAsia="en-US"/>
              </w:rPr>
              <w:t xml:space="preserve">日</w:t>
            </w:r>
            <w:r/>
          </w:p>
        </w:tc>
      </w:tr>
    </w:tbl>
    <w:p>
      <w:pPr>
        <w:jc w:val="both"/>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rPr>
          <w:rFonts w:ascii="宋体" w:hAnsi="宋体" w:cs="宋体"/>
          <w:color w:val="auto"/>
          <w:sz w:val="21"/>
          <w:szCs w:val="21"/>
          <w:highlight w:val="none"/>
        </w:rPr>
      </w:pPr>
      <w:r>
        <w:rPr>
          <w:rFonts w:hint="eastAsia" w:ascii="宋体" w:hAnsi="宋体" w:cs="宋体"/>
          <w:b/>
          <w:bCs/>
          <w:color w:val="auto"/>
          <w:sz w:val="21"/>
          <w:szCs w:val="21"/>
          <w:highlight w:val="none"/>
        </w:rPr>
        <w:t xml:space="preserve">附件</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w:t>
      </w:r>
      <w:r/>
    </w:p>
    <w:p>
      <w:pPr>
        <w:jc w:val="center"/>
        <w:rPr>
          <w:rFonts w:ascii="微软雅黑" w:hAnsi="微软雅黑" w:eastAsia="微软雅黑" w:cs="微软雅黑"/>
          <w:color w:val="auto"/>
          <w:sz w:val="36"/>
          <w:szCs w:val="36"/>
          <w:highlight w:val="none"/>
        </w:rPr>
      </w:pPr>
      <w:r>
        <w:rPr>
          <w:rFonts w:ascii="微软雅黑" w:hAnsi="微软雅黑" w:eastAsia="微软雅黑" w:cs="微软雅黑"/>
          <w:color w:val="auto"/>
          <w:spacing w:val="19"/>
          <w:sz w:val="36"/>
          <w:szCs w:val="36"/>
          <w:highlight w:val="none"/>
        </w:rPr>
        <w:t xml:space="preserve">政府采购履约验收书参考样本(服务类)</w:t>
      </w:r>
      <w:r/>
    </w:p>
    <w:tbl>
      <w:tblPr>
        <w:tblStyle w:val="958"/>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
        <w:gridCol w:w="1339"/>
        <w:gridCol w:w="1251"/>
        <w:gridCol w:w="1257"/>
        <w:gridCol w:w="1363"/>
        <w:gridCol w:w="1519"/>
        <w:gridCol w:w="74"/>
        <w:gridCol w:w="1442"/>
        <w:gridCol w:w="1579"/>
      </w:tblGrid>
      <w:tr>
        <w:trPr>
          <w:gridBefore w:val="1"/>
          <w:trHeight w:val="562"/>
        </w:trPr>
        <w:tc>
          <w:tcPr>
            <w:tcW w:w="1339"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3"/>
                <w:highlight w:val="none"/>
              </w:rPr>
              <w:t xml:space="preserve">采购人</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3"/>
                <w:highlight w:val="none"/>
              </w:rPr>
              <w:t xml:space="preserve">项目名称</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合同名称</w:t>
            </w:r>
            <w:r/>
          </w:p>
        </w:tc>
        <w:tc>
          <w:tcPr>
            <w:tcW w:w="157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64"/>
        </w:trPr>
        <w:tc>
          <w:tcPr>
            <w:tcW w:w="1339"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3"/>
                <w:highlight w:val="none"/>
              </w:rPr>
              <w:t xml:space="preserve">供应商</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项目及合同编号</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合同金额</w:t>
            </w:r>
            <w:r/>
          </w:p>
        </w:tc>
        <w:tc>
          <w:tcPr>
            <w:tcW w:w="157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gridBefore w:val="1"/>
          <w:trHeight w:val="559"/>
        </w:trPr>
        <w:tc>
          <w:tcPr>
            <w:tcW w:w="1339"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position w:val="1"/>
                <w:highlight w:val="none"/>
              </w:rPr>
              <w:t xml:space="preserve">分期（段）验收</w:t>
            </w:r>
            <w:r/>
          </w:p>
        </w:tc>
        <w:tc>
          <w:tcPr>
            <w:tcW w:w="1251"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6"/>
                <w:position w:val="1"/>
                <w:highlight w:val="none"/>
              </w:rPr>
              <w:t xml:space="preserve">是□否□</w:t>
            </w:r>
            <w:r/>
          </w:p>
        </w:tc>
        <w:tc>
          <w:tcPr>
            <w:tcW w:w="1257"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position w:val="1"/>
                <w:highlight w:val="none"/>
              </w:rPr>
              <w:t xml:space="preserve">分期（段）情况</w:t>
            </w:r>
            <w:r/>
          </w:p>
        </w:tc>
        <w:tc>
          <w:tcPr>
            <w:gridSpan w:val="5"/>
            <w:tcW w:w="5977" w:type="dxa"/>
            <w:vAlign w:val="center"/>
            <w:textDirection w:val="lrTb"/>
            <w:noWrap w:val="false"/>
          </w:tcPr>
          <w:p>
            <w:pPr>
              <w:pStyle w:val="1062"/>
              <w:ind w:left="120"/>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共分   期（段</w:t>
            </w:r>
            <w:r>
              <w:rPr>
                <w:color w:val="auto"/>
                <w:spacing w:val="6"/>
                <w:position w:val="1"/>
                <w:highlight w:val="none"/>
                <w:lang w:eastAsia="zh-CN"/>
              </w:rPr>
              <w:t xml:space="preserve">），</w:t>
            </w:r>
            <w:r>
              <w:rPr>
                <w:color w:val="auto"/>
                <w:spacing w:val="-1"/>
                <w:position w:val="1"/>
                <w:highlight w:val="none"/>
                <w:lang w:eastAsia="zh-CN"/>
              </w:rPr>
              <w:t xml:space="preserve">此为第   期（段）验收</w:t>
            </w:r>
            <w:r/>
          </w:p>
        </w:tc>
      </w:tr>
      <w:tr>
        <w:trPr>
          <w:gridBefore w:val="1"/>
          <w:trHeight w:val="1600"/>
        </w:trPr>
        <w:tc>
          <w:tcPr>
            <w:tcW w:w="133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2"/>
              <w:ind w:left="120" w:firstLine="176"/>
              <w:keepLines w:val="0"/>
              <w:keepNext w:val="0"/>
              <w:pageBreakBefore w:val="0"/>
              <w:spacing w:line="360" w:lineRule="auto"/>
              <w:widowControl/>
              <w:rPr>
                <w:color w:val="auto"/>
                <w:highlight w:val="none"/>
              </w:rPr>
            </w:pPr>
            <w:r>
              <w:rPr>
                <w:color w:val="auto"/>
                <w:spacing w:val="-2"/>
                <w:highlight w:val="none"/>
              </w:rPr>
              <w:t xml:space="preserve">验收时间</w:t>
            </w:r>
            <w:r/>
          </w:p>
        </w:tc>
        <w:tc>
          <w:tcPr>
            <w:tcW w:w="1251"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tcW w:w="1257"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验收地点</w:t>
            </w:r>
            <w:r/>
          </w:p>
        </w:tc>
        <w:tc>
          <w:tcPr>
            <w:tcW w:w="1363"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c>
          <w:tcPr>
            <w:gridSpan w:val="3"/>
            <w:tcW w:w="3035"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验收组织形式</w:t>
            </w:r>
            <w:r/>
          </w:p>
        </w:tc>
        <w:tc>
          <w:tcPr>
            <w:tcW w:w="1579" w:type="dxa"/>
            <w:vAlign w:val="center"/>
            <w:textDirection w:val="lrTb"/>
            <w:noWrap w:val="false"/>
          </w:tcPr>
          <w:p>
            <w:pPr>
              <w:pStyle w:val="1062"/>
              <w:ind w:left="120"/>
              <w:keepLines w:val="0"/>
              <w:keepNext w:val="0"/>
              <w:pageBreakBefore w:val="0"/>
              <w:spacing w:line="360" w:lineRule="auto"/>
              <w:widowControl/>
              <w:rPr>
                <w:color w:val="auto"/>
                <w:highlight w:val="none"/>
                <w:lang w:eastAsia="zh-CN"/>
              </w:rPr>
            </w:pPr>
            <w:r>
              <w:rPr>
                <w:color w:val="auto"/>
                <w:spacing w:val="-4"/>
                <w:position w:val="1"/>
                <w:highlight w:val="none"/>
                <w:lang w:eastAsia="zh-CN"/>
              </w:rPr>
              <w:t xml:space="preserve">□自行简易验收</w:t>
            </w:r>
            <w:r/>
          </w:p>
          <w:p>
            <w:pPr>
              <w:pStyle w:val="1062"/>
              <w:ind w:left="120"/>
              <w:keepLines w:val="0"/>
              <w:keepNext w:val="0"/>
              <w:pageBreakBefore w:val="0"/>
              <w:spacing w:line="360" w:lineRule="auto"/>
              <w:widowControl/>
              <w:rPr>
                <w:color w:val="auto"/>
                <w:highlight w:val="none"/>
                <w:lang w:eastAsia="zh-CN"/>
              </w:rPr>
            </w:pPr>
            <w:r>
              <w:rPr>
                <w:color w:val="auto"/>
                <w:spacing w:val="-4"/>
                <w:position w:val="1"/>
                <w:highlight w:val="none"/>
                <w:lang w:eastAsia="zh-CN"/>
              </w:rPr>
              <w:t xml:space="preserve">□验收小组验收</w:t>
            </w:r>
            <w:r/>
          </w:p>
          <w:p>
            <w:pPr>
              <w:pStyle w:val="1062"/>
              <w:ind w:left="120"/>
              <w:keepLines w:val="0"/>
              <w:keepNext w:val="0"/>
              <w:pageBreakBefore w:val="0"/>
              <w:spacing w:line="360" w:lineRule="auto"/>
              <w:widowControl/>
              <w:rPr>
                <w:color w:val="auto"/>
                <w:highlight w:val="none"/>
              </w:rPr>
            </w:pPr>
            <w:r>
              <w:rPr>
                <w:color w:val="auto"/>
                <w:spacing w:val="-3"/>
                <w:position w:val="1"/>
                <w:highlight w:val="none"/>
              </w:rPr>
              <w:t xml:space="preserve">□采购代理机构验收</w:t>
            </w:r>
            <w:r/>
          </w:p>
        </w:tc>
      </w:tr>
      <w:tr>
        <w:trPr>
          <w:gridBefore w:val="1"/>
          <w:trHeight w:val="641"/>
        </w:trPr>
        <w:tc>
          <w:tcPr>
            <w:tcBorders>
              <w:bottom w:val="none" w:color="000000" w:sz="4" w:space="0"/>
            </w:tcBorders>
            <w:tcW w:w="1339" w:type="dxa"/>
            <w:vAlign w:val="center"/>
            <w:vMerge w:val="restart"/>
            <w:textDirection w:val="lrTb"/>
            <w:noWrap w:val="false"/>
          </w:tcPr>
          <w:p>
            <w:pPr>
              <w:pStyle w:val="1062"/>
              <w:jc w:val="center"/>
              <w:keepLines w:val="0"/>
              <w:keepNext w:val="0"/>
              <w:pageBreakBefore w:val="0"/>
              <w:spacing w:line="360" w:lineRule="auto"/>
              <w:widowControl/>
              <w:rPr>
                <w:color w:val="auto"/>
                <w:highlight w:val="none"/>
              </w:rPr>
            </w:pPr>
            <w:r>
              <w:rPr>
                <w:color w:val="auto"/>
                <w:spacing w:val="-2"/>
                <w:highlight w:val="none"/>
              </w:rPr>
              <w:t xml:space="preserve">验收内容</w:t>
            </w:r>
            <w:r/>
          </w:p>
        </w:tc>
        <w:tc>
          <w:tcPr>
            <w:tcW w:w="1251" w:type="dxa"/>
            <w:vAlign w:val="center"/>
            <w:vMerge w:val="restart"/>
            <w:textDirection w:val="lrTb"/>
            <w:noWrap w:val="false"/>
          </w:tcPr>
          <w:p>
            <w:pPr>
              <w:pStyle w:val="1062"/>
              <w:ind w:left="120"/>
              <w:jc w:val="center"/>
              <w:keepLines w:val="0"/>
              <w:keepNext w:val="0"/>
              <w:pageBreakBefore w:val="0"/>
              <w:spacing w:line="360" w:lineRule="auto"/>
              <w:widowControl/>
              <w:rPr>
                <w:color w:val="auto"/>
                <w:highlight w:val="none"/>
              </w:rPr>
            </w:pPr>
            <w:r>
              <w:rPr>
                <w:color w:val="auto"/>
                <w:spacing w:val="-2"/>
                <w:highlight w:val="none"/>
              </w:rPr>
              <w:t xml:space="preserve">服务质量</w:t>
            </w:r>
            <w:r/>
          </w:p>
        </w:tc>
        <w:tc>
          <w:tcPr>
            <w:tcW w:w="1257" w:type="dxa"/>
            <w:vAlign w:val="center"/>
            <w:textDirection w:val="lrTb"/>
            <w:noWrap w:val="false"/>
          </w:tcPr>
          <w:p>
            <w:pPr>
              <w:pStyle w:val="1062"/>
              <w:ind w:left="120"/>
              <w:jc w:val="center"/>
              <w:keepLines w:val="0"/>
              <w:keepNext w:val="0"/>
              <w:pageBreakBefore w:val="0"/>
              <w:spacing w:line="360" w:lineRule="auto"/>
              <w:widowControl/>
              <w:rPr>
                <w:color w:val="auto"/>
                <w:highlight w:val="none"/>
              </w:rPr>
            </w:pPr>
            <w:r>
              <w:rPr>
                <w:color w:val="auto"/>
                <w:spacing w:val="-2"/>
                <w:highlight w:val="none"/>
              </w:rPr>
              <w:t xml:space="preserve">服务进度</w:t>
            </w:r>
            <w:r/>
          </w:p>
        </w:tc>
        <w:tc>
          <w:tcPr>
            <w:tcW w:w="1363" w:type="dxa"/>
            <w:vAlign w:val="center"/>
            <w:textDirection w:val="lrTb"/>
            <w:noWrap w:val="false"/>
          </w:tcPr>
          <w:p>
            <w:pPr>
              <w:pStyle w:val="1062"/>
              <w:ind w:left="120"/>
              <w:jc w:val="center"/>
              <w:keepLines w:val="0"/>
              <w:keepNext w:val="0"/>
              <w:pageBreakBefore w:val="0"/>
              <w:spacing w:line="360" w:lineRule="auto"/>
              <w:widowControl/>
              <w:rPr>
                <w:color w:val="auto"/>
                <w:highlight w:val="none"/>
              </w:rPr>
            </w:pPr>
            <w:r>
              <w:rPr>
                <w:color w:val="auto"/>
                <w:spacing w:val="-1"/>
                <w:highlight w:val="none"/>
              </w:rPr>
              <w:t xml:space="preserve">人员、设备 配备情况</w:t>
            </w:r>
            <w:r/>
          </w:p>
        </w:tc>
        <w:tc>
          <w:tcPr>
            <w:tcW w:w="1519" w:type="dxa"/>
            <w:vAlign w:val="center"/>
            <w:textDirection w:val="lrTb"/>
            <w:noWrap w:val="false"/>
          </w:tcPr>
          <w:p>
            <w:pPr>
              <w:pStyle w:val="1062"/>
              <w:ind w:left="120"/>
              <w:jc w:val="center"/>
              <w:keepLines w:val="0"/>
              <w:keepNext w:val="0"/>
              <w:pageBreakBefore w:val="0"/>
              <w:spacing w:line="360" w:lineRule="auto"/>
              <w:widowControl/>
              <w:rPr>
                <w:color w:val="auto"/>
                <w:highlight w:val="none"/>
              </w:rPr>
            </w:pPr>
            <w:r>
              <w:rPr>
                <w:color w:val="auto"/>
                <w:spacing w:val="-2"/>
                <w:highlight w:val="none"/>
              </w:rPr>
              <w:t xml:space="preserve">行业、安全标准</w:t>
            </w:r>
            <w:r/>
          </w:p>
        </w:tc>
        <w:tc>
          <w:tcPr>
            <w:gridSpan w:val="2"/>
            <w:tcW w:w="1516" w:type="dxa"/>
            <w:vAlign w:val="center"/>
            <w:textDirection w:val="lrTb"/>
            <w:noWrap w:val="false"/>
          </w:tcPr>
          <w:p>
            <w:pPr>
              <w:pStyle w:val="1062"/>
              <w:ind w:left="120"/>
              <w:jc w:val="center"/>
              <w:keepLines w:val="0"/>
              <w:keepNext w:val="0"/>
              <w:pageBreakBefore w:val="0"/>
              <w:spacing w:line="360" w:lineRule="auto"/>
              <w:widowControl/>
              <w:rPr>
                <w:color w:val="auto"/>
                <w:highlight w:val="none"/>
              </w:rPr>
            </w:pPr>
            <w:r>
              <w:rPr>
                <w:color w:val="auto"/>
                <w:spacing w:val="-2"/>
                <w:highlight w:val="none"/>
              </w:rPr>
              <w:t xml:space="preserve">项目需求、服务承诺</w:t>
            </w:r>
            <w:r/>
          </w:p>
        </w:tc>
        <w:tc>
          <w:tcPr>
            <w:tcW w:w="1579" w:type="dxa"/>
            <w:vAlign w:val="center"/>
            <w:textDirection w:val="lrTb"/>
            <w:noWrap w:val="false"/>
          </w:tcPr>
          <w:p>
            <w:pPr>
              <w:pStyle w:val="1062"/>
              <w:ind w:left="120"/>
              <w:jc w:val="center"/>
              <w:keepLines w:val="0"/>
              <w:keepNext w:val="0"/>
              <w:pageBreakBefore w:val="0"/>
              <w:spacing w:line="360" w:lineRule="auto"/>
              <w:widowControl/>
              <w:rPr>
                <w:color w:val="auto"/>
                <w:highlight w:val="none"/>
                <w:lang w:eastAsia="zh-CN"/>
              </w:rPr>
            </w:pPr>
            <w:r>
              <w:rPr>
                <w:color w:val="auto"/>
                <w:spacing w:val="-1"/>
                <w:highlight w:val="none"/>
                <w:lang w:eastAsia="zh-CN"/>
              </w:rPr>
              <w:t xml:space="preserve">合同履约时间、 地点、方式</w:t>
            </w:r>
            <w:r/>
          </w:p>
        </w:tc>
      </w:tr>
      <w:tr>
        <w:trPr>
          <w:gridBefore w:val="1"/>
          <w:trHeight w:val="937"/>
        </w:trPr>
        <w:tc>
          <w:tcPr>
            <w:tcBorders>
              <w:top w:val="none" w:color="000000" w:sz="4" w:space="0"/>
            </w:tcBorders>
            <w:tcW w:w="1339" w:type="dxa"/>
            <w:vAlign w:val="center"/>
            <w:vMerge w:val="continue"/>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tc>
        <w:tc>
          <w:tcPr>
            <w:tcW w:w="1251" w:type="dxa"/>
            <w:vAlign w:val="center"/>
            <w:textDirection w:val="lrTb"/>
            <w:noWrap w:val="false"/>
          </w:tcPr>
          <w:p>
            <w:pPr>
              <w:pStyle w:val="1062"/>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2"/>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257" w:type="dxa"/>
            <w:vAlign w:val="center"/>
            <w:textDirection w:val="lrTb"/>
            <w:noWrap w:val="false"/>
          </w:tcPr>
          <w:p>
            <w:pPr>
              <w:pStyle w:val="1062"/>
              <w:ind w:left="121" w:hanging="1"/>
              <w:jc w:val="center"/>
              <w:keepLines w:val="0"/>
              <w:keepNext w:val="0"/>
              <w:pageBreakBefore w:val="0"/>
              <w:spacing w:line="360" w:lineRule="auto"/>
              <w:widowControl/>
              <w:rPr>
                <w:color w:val="auto"/>
                <w:spacing w:val="-8"/>
                <w:highlight w:val="none"/>
              </w:rPr>
            </w:pPr>
            <w:r>
              <w:rPr>
                <w:color w:val="auto"/>
                <w:spacing w:val="-8"/>
                <w:highlight w:val="none"/>
              </w:rPr>
              <w:t xml:space="preserve">按时□</w:t>
            </w:r>
            <w:r/>
          </w:p>
          <w:p>
            <w:pPr>
              <w:pStyle w:val="1062"/>
              <w:ind w:left="121" w:hanging="1"/>
              <w:jc w:val="center"/>
              <w:keepLines w:val="0"/>
              <w:keepNext w:val="0"/>
              <w:pageBreakBefore w:val="0"/>
              <w:spacing w:line="360" w:lineRule="auto"/>
              <w:widowControl/>
              <w:rPr>
                <w:color w:val="auto"/>
                <w:highlight w:val="none"/>
              </w:rPr>
            </w:pPr>
            <w:r>
              <w:rPr>
                <w:color w:val="auto"/>
                <w:spacing w:val="-3"/>
                <w:highlight w:val="none"/>
              </w:rPr>
              <w:t xml:space="preserve">不按时□</w:t>
            </w:r>
            <w:r/>
          </w:p>
        </w:tc>
        <w:tc>
          <w:tcPr>
            <w:tcW w:w="1363" w:type="dxa"/>
            <w:vAlign w:val="center"/>
            <w:textDirection w:val="lrTb"/>
            <w:noWrap w:val="false"/>
          </w:tcPr>
          <w:p>
            <w:pPr>
              <w:pStyle w:val="1062"/>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2"/>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519" w:type="dxa"/>
            <w:vAlign w:val="center"/>
            <w:textDirection w:val="lrTb"/>
            <w:noWrap w:val="false"/>
          </w:tcPr>
          <w:p>
            <w:pPr>
              <w:pStyle w:val="1062"/>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2"/>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gridSpan w:val="2"/>
            <w:tcW w:w="1516" w:type="dxa"/>
            <w:vAlign w:val="center"/>
            <w:textDirection w:val="lrTb"/>
            <w:noWrap w:val="false"/>
          </w:tcPr>
          <w:p>
            <w:pPr>
              <w:pStyle w:val="1062"/>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2"/>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c>
          <w:tcPr>
            <w:tcW w:w="1579" w:type="dxa"/>
            <w:vAlign w:val="center"/>
            <w:textDirection w:val="lrTb"/>
            <w:noWrap w:val="false"/>
          </w:tcPr>
          <w:p>
            <w:pPr>
              <w:pStyle w:val="1062"/>
              <w:ind w:left="122" w:hanging="2"/>
              <w:jc w:val="center"/>
              <w:keepLines w:val="0"/>
              <w:keepNext w:val="0"/>
              <w:pageBreakBefore w:val="0"/>
              <w:spacing w:line="360" w:lineRule="auto"/>
              <w:widowControl/>
              <w:rPr>
                <w:color w:val="auto"/>
                <w:spacing w:val="-5"/>
                <w:highlight w:val="none"/>
              </w:rPr>
            </w:pPr>
            <w:r>
              <w:rPr>
                <w:color w:val="auto"/>
                <w:spacing w:val="-5"/>
                <w:highlight w:val="none"/>
              </w:rPr>
              <w:t xml:space="preserve">合格□</w:t>
            </w:r>
            <w:r/>
          </w:p>
          <w:p>
            <w:pPr>
              <w:pStyle w:val="1062"/>
              <w:ind w:left="122" w:hanging="2"/>
              <w:jc w:val="center"/>
              <w:keepLines w:val="0"/>
              <w:keepNext w:val="0"/>
              <w:pageBreakBefore w:val="0"/>
              <w:spacing w:line="360" w:lineRule="auto"/>
              <w:widowControl/>
              <w:rPr>
                <w:color w:val="auto"/>
                <w:highlight w:val="none"/>
              </w:rPr>
            </w:pPr>
            <w:r>
              <w:rPr>
                <w:color w:val="auto"/>
                <w:spacing w:val="-3"/>
                <w:highlight w:val="none"/>
              </w:rPr>
              <w:t xml:space="preserve">不合格□</w:t>
            </w:r>
            <w:r/>
          </w:p>
        </w:tc>
      </w:tr>
      <w:tr>
        <w:trPr>
          <w:gridBefore w:val="1"/>
          <w:trHeight w:val="1119"/>
        </w:trPr>
        <w:tc>
          <w:tcPr>
            <w:tcW w:w="1339" w:type="dxa"/>
            <w:vAlign w:val="center"/>
            <w:textDirection w:val="lrTb"/>
            <w:noWrap w:val="false"/>
          </w:tcPr>
          <w:p>
            <w:pPr>
              <w:pStyle w:val="1062"/>
              <w:ind w:left="120"/>
              <w:keepLines w:val="0"/>
              <w:keepNext w:val="0"/>
              <w:pageBreakBefore w:val="0"/>
              <w:spacing w:line="360" w:lineRule="auto"/>
              <w:widowControl/>
              <w:rPr>
                <w:color w:val="auto"/>
                <w:highlight w:val="none"/>
                <w:lang w:eastAsia="zh-CN"/>
              </w:rPr>
            </w:pPr>
            <w:r>
              <w:rPr>
                <w:color w:val="auto"/>
                <w:spacing w:val="-2"/>
                <w:highlight w:val="none"/>
                <w:lang w:eastAsia="zh-CN"/>
              </w:rPr>
              <w:t xml:space="preserve">专业检测机构情</w:t>
            </w:r>
            <w:r>
              <w:rPr>
                <w:color w:val="auto"/>
                <w:spacing w:val="-3"/>
                <w:highlight w:val="none"/>
                <w:lang w:eastAsia="zh-CN"/>
              </w:rPr>
              <w:t xml:space="preserve">况说明</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tc>
      </w:tr>
      <w:tr>
        <w:trPr>
          <w:gridBefore w:val="1"/>
          <w:trHeight w:val="1120"/>
        </w:trPr>
        <w:tc>
          <w:tcPr>
            <w:tcW w:w="133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2"/>
              <w:ind w:left="120"/>
              <w:keepLines w:val="0"/>
              <w:keepNext w:val="0"/>
              <w:pageBreakBefore w:val="0"/>
              <w:spacing w:line="360" w:lineRule="auto"/>
              <w:widowControl/>
              <w:rPr>
                <w:color w:val="auto"/>
                <w:highlight w:val="none"/>
              </w:rPr>
            </w:pPr>
            <w:r>
              <w:rPr>
                <w:color w:val="auto"/>
                <w:spacing w:val="-2"/>
                <w:highlight w:val="none"/>
              </w:rPr>
              <w:t xml:space="preserve">存在问题和改进意见</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687"/>
        </w:trPr>
        <w:tc>
          <w:tcPr>
            <w:gridSpan w:val="2"/>
            <w:tcW w:w="134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62"/>
              <w:ind w:left="120"/>
              <w:keepLines w:val="0"/>
              <w:keepNext w:val="0"/>
              <w:pageBreakBefore w:val="0"/>
              <w:spacing w:line="360" w:lineRule="auto"/>
              <w:widowControl/>
              <w:rPr>
                <w:color w:val="auto"/>
                <w:highlight w:val="none"/>
              </w:rPr>
            </w:pPr>
            <w:r>
              <w:rPr>
                <w:color w:val="auto"/>
                <w:spacing w:val="-3"/>
                <w:highlight w:val="none"/>
              </w:rPr>
              <w:t xml:space="preserve">最终结论</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p>
            <w:pPr>
              <w:pStyle w:val="1062"/>
              <w:ind w:left="120" w:firstLine="352"/>
              <w:keepLines w:val="0"/>
              <w:keepNext w:val="0"/>
              <w:pageBreakBefore w:val="0"/>
              <w:spacing w:line="360" w:lineRule="auto"/>
              <w:widowControl/>
              <w:rPr>
                <w:color w:val="auto"/>
                <w:highlight w:val="none"/>
              </w:rPr>
            </w:pPr>
            <w:r>
              <w:rPr>
                <w:color w:val="auto"/>
                <w:spacing w:val="-2"/>
                <w:position w:val="1"/>
                <w:highlight w:val="none"/>
              </w:rPr>
              <w:t xml:space="preserve">合  格□不合格□</w:t>
            </w:r>
            <w:r/>
          </w:p>
        </w:tc>
      </w:tr>
      <w:tr>
        <w:trPr>
          <w:trHeight w:val="835"/>
        </w:trPr>
        <w:tc>
          <w:tcPr>
            <w:gridSpan w:val="2"/>
            <w:tcW w:w="1345"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验收小组成</w:t>
            </w:r>
            <w:r>
              <w:rPr>
                <w:color w:val="auto"/>
                <w:spacing w:val="-4"/>
                <w:highlight w:val="none"/>
              </w:rPr>
              <w:t xml:space="preserve">签字</w:t>
            </w:r>
            <w:r/>
          </w:p>
        </w:tc>
        <w:tc>
          <w:tcPr>
            <w:gridSpan w:val="7"/>
            <w:tcW w:w="8485"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lang w:eastAsia="en-US"/>
              </w:rPr>
            </w:pPr>
            <w:r>
              <w:rPr>
                <w:rFonts w:ascii="Arial" w:hAnsi="Arial" w:eastAsia="Arial" w:cs="Arial"/>
                <w:color w:val="auto"/>
                <w:sz w:val="21"/>
                <w:szCs w:val="21"/>
                <w:highlight w:val="none"/>
                <w:lang w:eastAsia="en-US"/>
              </w:rPr>
            </w:r>
            <w:r/>
          </w:p>
        </w:tc>
      </w:tr>
      <w:tr>
        <w:trPr>
          <w:trHeight w:val="666"/>
        </w:trPr>
        <w:tc>
          <w:tcPr>
            <w:gridSpan w:val="7"/>
            <w:tcW w:w="6809"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1"/>
                <w:highlight w:val="none"/>
              </w:rPr>
              <w:t xml:space="preserve">采购代理机构意见</w:t>
            </w:r>
            <w:r/>
          </w:p>
        </w:tc>
        <w:tc>
          <w:tcPr>
            <w:gridSpan w:val="2"/>
            <w:tcW w:w="3021" w:type="dxa"/>
            <w:vAlign w:val="center"/>
            <w:textDirection w:val="lrTb"/>
            <w:noWrap w:val="false"/>
          </w:tcPr>
          <w:p>
            <w:pPr>
              <w:pStyle w:val="1062"/>
              <w:ind w:left="120"/>
              <w:keepLines w:val="0"/>
              <w:keepNext w:val="0"/>
              <w:pageBreakBefore w:val="0"/>
              <w:spacing w:line="360" w:lineRule="auto"/>
              <w:widowControl/>
              <w:rPr>
                <w:color w:val="auto"/>
                <w:highlight w:val="none"/>
              </w:rPr>
            </w:pPr>
            <w:r>
              <w:rPr>
                <w:color w:val="auto"/>
                <w:spacing w:val="-2"/>
                <w:highlight w:val="none"/>
              </w:rPr>
              <w:t xml:space="preserve">采购人意见</w:t>
            </w:r>
            <w:r/>
          </w:p>
        </w:tc>
      </w:tr>
      <w:tr>
        <w:trPr>
          <w:trHeight w:val="999"/>
        </w:trPr>
        <w:tc>
          <w:tcPr>
            <w:gridSpan w:val="7"/>
            <w:tcW w:w="6809" w:type="dxa"/>
            <w:vAlign w:val="center"/>
            <w:textDirection w:val="lrTb"/>
            <w:noWrap w:val="false"/>
          </w:tcPr>
          <w:p>
            <w:pPr>
              <w:ind w:left="120"/>
              <w:keepLines w:val="0"/>
              <w:keepNext w:val="0"/>
              <w:pageBreakBefore w:val="0"/>
              <w:spacing w:line="360" w:lineRule="auto"/>
              <w:widowControl/>
              <w:rPr>
                <w:rFonts w:ascii="Arial" w:hAnsi="Arial" w:eastAsia="Arial" w:cs="Arial"/>
                <w:color w:val="auto"/>
                <w:sz w:val="21"/>
                <w:szCs w:val="21"/>
                <w:highlight w:val="none"/>
              </w:rPr>
            </w:pPr>
            <w:r>
              <w:rPr>
                <w:rFonts w:ascii="Arial" w:hAnsi="Arial" w:eastAsia="Arial" w:cs="Arial"/>
                <w:color w:val="auto"/>
                <w:sz w:val="21"/>
                <w:szCs w:val="21"/>
                <w:highlight w:val="none"/>
              </w:rPr>
            </w:r>
            <w:r/>
          </w:p>
          <w:p>
            <w:pPr>
              <w:pStyle w:val="1062"/>
              <w:ind w:firstLine="182"/>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经办人：         </w:t>
            </w:r>
            <w:r>
              <w:rPr>
                <w:rFonts w:hint="eastAsia"/>
                <w:color w:val="auto"/>
                <w:spacing w:val="1"/>
                <w:position w:val="1"/>
                <w:highlight w:val="none"/>
                <w:lang w:val="en-US" w:eastAsia="zh-CN"/>
              </w:rPr>
              <w:t xml:space="preserve">               </w:t>
            </w:r>
            <w:r>
              <w:rPr>
                <w:color w:val="auto"/>
                <w:spacing w:val="1"/>
                <w:position w:val="1"/>
                <w:highlight w:val="none"/>
                <w:lang w:eastAsia="zh-CN"/>
              </w:rPr>
              <w:t xml:space="preserve">负责人</w:t>
            </w:r>
            <w:r>
              <w:rPr>
                <w:color w:val="auto"/>
                <w:spacing w:val="-18"/>
                <w:position w:val="1"/>
                <w:highlight w:val="none"/>
                <w:lang w:eastAsia="zh-CN"/>
              </w:rPr>
              <w:t xml:space="preserve">：（</w:t>
            </w:r>
            <w:r>
              <w:rPr>
                <w:color w:val="auto"/>
                <w:spacing w:val="1"/>
                <w:position w:val="1"/>
                <w:highlight w:val="none"/>
                <w:lang w:eastAsia="zh-CN"/>
              </w:rPr>
              <w:t xml:space="preserve">采购代理机构公章）</w:t>
            </w:r>
            <w:r/>
          </w:p>
        </w:tc>
        <w:tc>
          <w:tcPr>
            <w:gridSpan w:val="2"/>
            <w:tcW w:w="3021" w:type="dxa"/>
            <w:vAlign w:val="center"/>
            <w:textDirection w:val="lrTb"/>
            <w:noWrap w:val="false"/>
          </w:tcPr>
          <w:p>
            <w:pPr>
              <w:pStyle w:val="1062"/>
              <w:keepLines w:val="0"/>
              <w:keepNext w:val="0"/>
              <w:pageBreakBefore w:val="0"/>
              <w:spacing w:line="360" w:lineRule="auto"/>
              <w:widowControl/>
              <w:rPr>
                <w:color w:val="auto"/>
                <w:spacing w:val="1"/>
                <w:position w:val="1"/>
                <w:highlight w:val="none"/>
                <w:lang w:eastAsia="zh-CN"/>
              </w:rPr>
            </w:pPr>
            <w:r>
              <w:rPr>
                <w:color w:val="auto"/>
                <w:spacing w:val="1"/>
                <w:position w:val="1"/>
                <w:highlight w:val="none"/>
                <w:lang w:eastAsia="zh-CN"/>
              </w:rPr>
            </w:r>
            <w:r/>
          </w:p>
          <w:p>
            <w:pPr>
              <w:pStyle w:val="1062"/>
              <w:keepLines w:val="0"/>
              <w:keepNext w:val="0"/>
              <w:pageBreakBefore w:val="0"/>
              <w:spacing w:line="360" w:lineRule="auto"/>
              <w:widowControl/>
              <w:rPr>
                <w:color w:val="auto"/>
                <w:spacing w:val="1"/>
                <w:position w:val="1"/>
                <w:highlight w:val="none"/>
                <w:lang w:eastAsia="zh-CN"/>
              </w:rPr>
            </w:pPr>
            <w:r>
              <w:rPr>
                <w:color w:val="auto"/>
                <w:spacing w:val="1"/>
                <w:position w:val="1"/>
                <w:highlight w:val="none"/>
                <w:lang w:eastAsia="zh-CN"/>
              </w:rPr>
              <w:t xml:space="preserve">经办人：         </w:t>
            </w:r>
            <w:r/>
          </w:p>
          <w:p>
            <w:pPr>
              <w:pStyle w:val="1062"/>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负责人</w:t>
            </w:r>
            <w:r>
              <w:rPr>
                <w:color w:val="auto"/>
                <w:spacing w:val="-17"/>
                <w:position w:val="1"/>
                <w:highlight w:val="none"/>
                <w:lang w:eastAsia="zh-CN"/>
              </w:rPr>
              <w:t xml:space="preserve">：（</w:t>
            </w:r>
            <w:r>
              <w:rPr>
                <w:color w:val="auto"/>
                <w:spacing w:val="1"/>
                <w:position w:val="1"/>
                <w:highlight w:val="none"/>
                <w:lang w:eastAsia="zh-CN"/>
              </w:rPr>
              <w:t xml:space="preserve">采购人公章）</w:t>
            </w:r>
            <w:r/>
          </w:p>
        </w:tc>
      </w:tr>
      <w:tr>
        <w:trPr>
          <w:trHeight w:val="992"/>
        </w:trPr>
        <w:tc>
          <w:tcPr>
            <w:gridSpan w:val="9"/>
            <w:tcW w:w="9830" w:type="dxa"/>
            <w:vAlign w:val="center"/>
            <w:textDirection w:val="lrTb"/>
            <w:noWrap w:val="false"/>
          </w:tcPr>
          <w:p>
            <w:pPr>
              <w:pStyle w:val="1062"/>
              <w:ind w:left="120"/>
              <w:keepLines w:val="0"/>
              <w:keepNext w:val="0"/>
              <w:pageBreakBefore w:val="0"/>
              <w:spacing w:line="360" w:lineRule="auto"/>
              <w:widowControl/>
              <w:rPr>
                <w:color w:val="auto"/>
                <w:spacing w:val="-2"/>
                <w:highlight w:val="none"/>
                <w:lang w:eastAsia="zh-CN"/>
              </w:rPr>
            </w:pPr>
            <w:r>
              <w:rPr>
                <w:color w:val="auto"/>
                <w:spacing w:val="-2"/>
                <w:highlight w:val="none"/>
                <w:lang w:eastAsia="zh-CN"/>
              </w:rPr>
            </w:r>
            <w:r/>
          </w:p>
          <w:p>
            <w:pPr>
              <w:pStyle w:val="1062"/>
              <w:ind w:left="120"/>
              <w:keepLines w:val="0"/>
              <w:keepNext w:val="0"/>
              <w:pageBreakBefore w:val="0"/>
              <w:spacing w:line="360" w:lineRule="auto"/>
              <w:widowControl/>
              <w:rPr>
                <w:rFonts w:ascii="Arial" w:hAnsi="Arial" w:eastAsia="Arial" w:cs="Arial"/>
                <w:color w:val="auto"/>
                <w:sz w:val="21"/>
                <w:szCs w:val="21"/>
                <w:highlight w:val="none"/>
              </w:rPr>
            </w:pPr>
            <w:r>
              <w:rPr>
                <w:color w:val="auto"/>
                <w:spacing w:val="-2"/>
                <w:highlight w:val="none"/>
                <w:lang w:eastAsia="zh-CN"/>
              </w:rPr>
              <w:t xml:space="preserve">供应商确认：</w:t>
            </w:r>
            <w:r/>
          </w:p>
          <w:p>
            <w:pPr>
              <w:pStyle w:val="1062"/>
              <w:ind w:left="120"/>
              <w:keepLines w:val="0"/>
              <w:keepNext w:val="0"/>
              <w:pageBreakBefore w:val="0"/>
              <w:spacing w:line="360" w:lineRule="auto"/>
              <w:widowControl/>
              <w:rPr>
                <w:color w:val="auto"/>
                <w:highlight w:val="none"/>
                <w:lang w:eastAsia="zh-CN"/>
              </w:rPr>
            </w:pPr>
            <w:r>
              <w:rPr>
                <w:color w:val="auto"/>
                <w:spacing w:val="-1"/>
                <w:position w:val="1"/>
                <w:highlight w:val="none"/>
                <w:lang w:eastAsia="zh-CN"/>
              </w:rPr>
              <w:t xml:space="preserve">（单位公章或授权代表签字）</w:t>
            </w:r>
            <w:r/>
          </w:p>
        </w:tc>
      </w:tr>
    </w:tbl>
    <w:p>
      <w:pPr>
        <w:ind w:left="85"/>
        <w:spacing w:before="296" w:line="211" w:lineRule="auto"/>
        <w:rPr>
          <w:rFonts w:ascii="宋体" w:hAnsi="宋体" w:cs="宋体"/>
          <w:color w:val="auto"/>
          <w:sz w:val="18"/>
          <w:szCs w:val="18"/>
          <w:highlight w:val="none"/>
        </w:rPr>
      </w:pPr>
      <w:r>
        <w:rPr>
          <w:rFonts w:ascii="宋体" w:hAnsi="宋体" w:cs="宋体"/>
          <w:color w:val="auto"/>
          <w:sz w:val="18"/>
          <w:szCs w:val="18"/>
          <w:highlight w:val="none"/>
        </w:rPr>
        <w:t xml:space="preserve">说明：1.该表为服务类项目履约验收的参考样表，采购人或采购代理机构可以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5" w:lineRule="auto"/>
        <w:rPr>
          <w:rFonts w:ascii="Arial" w:hAnsi="Arial" w:eastAsia="Arial" w:cs="Arial"/>
          <w:color w:val="auto"/>
          <w:sz w:val="21"/>
          <w:szCs w:val="21"/>
          <w:highlight w:val="none"/>
        </w:rPr>
      </w:pPr>
      <w:r>
        <w:rPr>
          <w:rFonts w:ascii="Arial" w:hAnsi="Arial" w:eastAsia="Arial" w:cs="Arial"/>
          <w:color w:val="auto"/>
          <w:sz w:val="21"/>
          <w:szCs w:val="21"/>
          <w:highlight w:val="none"/>
        </w:rPr>
      </w:r>
      <w:r/>
    </w:p>
    <w:p>
      <w:pPr>
        <w:ind w:left="625"/>
        <w:spacing w:before="59" w:line="211" w:lineRule="auto"/>
        <w:rPr>
          <w:rFonts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p>
    <w:p>
      <w:pPr>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footerReference w:type="default" r:id="rId15"/>
      <w:footerReference w:type="first" r:id="rId16"/>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Style w:val="985"/>
      </w:rPr>
      <w:framePr w:wrap="around" w:vAnchor="text" w:hAnchor="margin" w:xAlign="center" w:y="2"/>
    </w:pPr>
    <w:r>
      <w:fldChar w:fldCharType="begin"/>
    </w:r>
    <w:r>
      <w:rPr>
        <w:rStyle w:val="985"/>
      </w:rPr>
      <w:instrText xml:space="preserve">PAGE  </w:instrText>
    </w:r>
    <w:r>
      <w:fldChar w:fldCharType="separate"/>
    </w:r>
    <w:r>
      <w:rPr>
        <w:rStyle w:val="985"/>
      </w:rPr>
      <w:t xml:space="preserve">0</w:t>
    </w:r>
    <w:r>
      <w:fldChar w:fldCharType="end"/>
    </w:r>
    <w:r/>
  </w:p>
  <w:p>
    <w:pPr>
      <w:pStyle w:val="96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widowControl w:val="off"/>
      <w:tabs>
        <w:tab w:val="center" w:pos="4153" w:leader="none"/>
        <w:tab w:val="right" w:pos="8306" w:leader="none"/>
      </w:tabs>
      <w:rPr>
        <w:rFonts w:hint="default" w:ascii="宋体" w:hAnsi="Times New Roman" w:eastAsia="宋体" w:cs="Times New Roman"/>
        <w:sz w:val="18"/>
        <w:szCs w:val="18"/>
      </w:rPr>
    </w:pPr>
    <w:r>
      <w:rPr>
        <w:rFonts w:hint="default" w:ascii="宋体" w:hAnsi="Times New Roman" w:eastAsia="宋体" w:cs="Times New Roman"/>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819" w:leader="none"/>
      </w:tabs>
    </w:pPr>
    <w:r>
      <w:rPr>
        <w:rFonts w:hint="eastAsia"/>
        <w:lang w:eastAsia="zh-CN"/>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left"/>
      <w:rPr>
        <w:rFonts w:hint="eastAsia" w:eastAsia="宋体"/>
        <w:sz w:val="21"/>
        <w:szCs w:val="21"/>
        <w:lang w:eastAsia="zh-CN"/>
      </w:rPr>
    </w:pPr>
    <w:r>
      <mc:AlternateContent>
        <mc:Choice Requires="wpg">
          <w:drawing>
            <wp:inline xmlns:wp="http://schemas.openxmlformats.org/drawingml/2006/wordprocessingDrawing" distT="0" distB="0" distL="0" distR="0">
              <wp:extent cx="276225" cy="228600"/>
              <wp:effectExtent l="0" t="0" r="9525" b="0"/>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6225"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pt;height:18.0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w:t>
    </w:r>
    <w:r>
      <w:rPr>
        <w:rFonts w:hint="eastAsia"/>
        <w:lang w:val="en-US" w:eastAsia="zh-CN"/>
      </w:rPr>
      <w:t xml:space="preserve">        </w:t>
    </w:r>
    <w:r>
      <w:rPr>
        <w:rFonts w:hint="eastAsia"/>
      </w:rPr>
      <w:t xml:space="preserve">招标编号： </w:t>
    </w:r>
    <w:r>
      <w:rPr>
        <w:rFonts w:hint="eastAsia"/>
        <w:lang w:eastAsia="zh-CN"/>
      </w:rPr>
      <w:t xml:space="preserve">JSZC-320585-SZTZ-G2026-0009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jc w:val="both"/>
      <w:rPr>
        <w:rFonts w:hint="eastAsia" w:eastAsia="宋体"/>
        <w:lang w:eastAsia="zh-CN"/>
      </w:rPr>
    </w:pPr>
    <w:r>
      <mc:AlternateContent>
        <mc:Choice Requires="wpg">
          <w:drawing>
            <wp:inline xmlns:wp="http://schemas.openxmlformats.org/drawingml/2006/wordprocessingDrawing" distT="0" distB="0" distL="0" distR="0">
              <wp:extent cx="285750" cy="228600"/>
              <wp:effectExtent l="0" t="0" r="0" b="0"/>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1605335703(1)"/>
                      <pic:cNvPicPr>
                        <a:picLocks noChangeAspect="1"/>
                      </pic:cNvPicPr>
                      <pic:nvPr/>
                    </pic:nvPicPr>
                    <pic:blipFill>
                      <a:blip r:embed="rId1"/>
                      <a:stretch/>
                    </pic:blipFill>
                    <pic:spPr bwMode="auto">
                      <a:xfrm>
                        <a:off x="0" y="0"/>
                        <a:ext cx="2857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5pt;height:18.0pt;mso-wrap-distance-left:0.0pt;mso-wrap-distance-top:0.0pt;mso-wrap-distance-right:0.0pt;mso-wrap-distance-bottom:0.0pt;" stroked="f">
              <v:path textboxrect="0,0,0,0"/>
              <v:imagedata r:id="rId1" o:title=""/>
            </v:shape>
          </w:pict>
        </mc:Fallback>
      </mc:AlternateContent>
    </w:r>
    <w:r>
      <w:rPr>
        <w:rFonts w:hint="eastAsia"/>
      </w:rPr>
      <w:t xml:space="preserve">苏州泰至鑫项目管理有限公司                              编号：</w:t>
    </w:r>
    <w:r>
      <w:rPr>
        <w:rFonts w:hint="eastAsia"/>
        <w:lang w:eastAsia="zh-CN"/>
      </w:rPr>
      <w:t xml:space="preserve">JSZC-320585-SZTZ-G2026-0009</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default"/>
        <w:b/>
        <w:bCs/>
      </w:rPr>
      <w:pBdr>
        <w:bottom w:val="single" w:color="auto" w:sz="6" w:space="1"/>
      </w:pBdr>
    </w:pPr>
    <w:r>
      <w:rPr>
        <w:rFonts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5750" cy="228600"/>
              <wp:effectExtent l="0" t="0" r="0" b="0"/>
              <wp:docPr id="3"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8575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5pt;height:18.0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苏州泰至鑫项目管理有限公司                                 编号：</w:t>
    </w:r>
    <w:r>
      <w:rPr>
        <w:rFonts w:hint="eastAsia" w:cs="Times New Roman"/>
        <w:sz w:val="18"/>
        <w:szCs w:val="18"/>
        <w:lang w:val="en-US" w:eastAsia="zh-CN" w:bidi="ar-SA"/>
      </w:rPr>
      <w:t xml:space="preserve">JSZC-320585-SZTZ-G2026-0009</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48"/>
      <w:isLgl w:val="false"/>
      <w:suff w:val="nothing"/>
      <w:lvlText w:val="%1、"/>
      <w:lvlJc w:val="left"/>
      <w:pPr>
        <w:ind w:left="0" w:firstLine="0"/>
      </w:pPr>
      <w:rPr>
        <w:rFonts w:hint="eastAsia"/>
      </w:rPr>
    </w:lvl>
    <w:lvl w:ilvl="1">
      <w:start w:val="1"/>
      <w:numFmt w:val="chineseCounting"/>
      <w:pStyle w:val="949"/>
      <w:isLgl w:val="false"/>
      <w:suff w:val="nothing"/>
      <w:lvlText w:val="（%2）"/>
      <w:lvlJc w:val="left"/>
      <w:pPr>
        <w:ind w:left="0" w:firstLine="0"/>
      </w:pPr>
      <w:rPr>
        <w:rFonts w:hint="eastAsia"/>
      </w:rPr>
    </w:lvl>
    <w:lvl w:ilvl="2">
      <w:start w:val="1"/>
      <w:numFmt w:val="decimal"/>
      <w:pStyle w:val="950"/>
      <w:isLgl w:val="false"/>
      <w:suff w:val="nothing"/>
      <w:lvlText w:val="%3．"/>
      <w:lvlJc w:val="left"/>
      <w:pPr>
        <w:ind w:left="0" w:firstLine="400"/>
      </w:pPr>
      <w:rPr>
        <w:rFonts w:hint="eastAsia"/>
      </w:rPr>
    </w:lvl>
    <w:lvl w:ilvl="3">
      <w:start w:val="1"/>
      <w:numFmt w:val="decimal"/>
      <w:pStyle w:val="951"/>
      <w:isLgl w:val="false"/>
      <w:suff w:val="nothing"/>
      <w:lvlText w:val="（%4）"/>
      <w:lvlJc w:val="left"/>
      <w:pPr>
        <w:ind w:left="0" w:firstLine="402"/>
      </w:pPr>
      <w:rPr>
        <w:rFonts w:hint="eastAsia"/>
      </w:rPr>
    </w:lvl>
    <w:lvl w:ilvl="4">
      <w:start w:val="1"/>
      <w:numFmt w:val="decimalEnclosedCircleChinese"/>
      <w:pStyle w:val="952"/>
      <w:isLgl w:val="false"/>
      <w:suff w:val="nothing"/>
      <w:lvlText w:val="%5"/>
      <w:lvlJc w:val="left"/>
      <w:pPr>
        <w:ind w:left="0" w:firstLine="402"/>
      </w:pPr>
      <w:rPr>
        <w:rFonts w:hint="eastAsia"/>
      </w:rPr>
    </w:lvl>
    <w:lvl w:ilvl="5">
      <w:start w:val="1"/>
      <w:numFmt w:val="decimal"/>
      <w:pStyle w:val="953"/>
      <w:isLgl w:val="false"/>
      <w:suff w:val="nothing"/>
      <w:lvlText w:val="%6）"/>
      <w:lvlJc w:val="left"/>
      <w:pPr>
        <w:ind w:left="0" w:firstLine="402"/>
      </w:pPr>
      <w:rPr>
        <w:rFonts w:hint="eastAsia"/>
      </w:rPr>
    </w:lvl>
    <w:lvl w:ilvl="6">
      <w:start w:val="1"/>
      <w:numFmt w:val="lowerLetter"/>
      <w:pStyle w:val="954"/>
      <w:isLgl w:val="false"/>
      <w:suff w:val="nothing"/>
      <w:lvlText w:val="%7．"/>
      <w:lvlJc w:val="left"/>
      <w:pPr>
        <w:ind w:left="0" w:firstLine="402"/>
      </w:pPr>
      <w:rPr>
        <w:rFonts w:hint="eastAsia"/>
      </w:rPr>
    </w:lvl>
    <w:lvl w:ilvl="7">
      <w:start w:val="1"/>
      <w:numFmt w:val="lowerLetter"/>
      <w:pStyle w:val="955"/>
      <w:isLgl w:val="false"/>
      <w:suff w:val="nothing"/>
      <w:lvlText w:val="%8）"/>
      <w:lvlJc w:val="left"/>
      <w:pPr>
        <w:ind w:left="0" w:firstLine="402"/>
      </w:pPr>
      <w:rPr>
        <w:rFonts w:hint="eastAsia"/>
      </w:rPr>
    </w:lvl>
    <w:lvl w:ilvl="8">
      <w:start w:val="1"/>
      <w:numFmt w:val="lowerRoman"/>
      <w:pStyle w:val="956"/>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pStyle w:val="1045"/>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4">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25"/>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6"/>
  </w:num>
  <w:num w:numId="5">
    <w:abstractNumId w:val="0"/>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957"/>
    <w:link w:val="948"/>
    <w:uiPriority w:val="9"/>
    <w:rPr>
      <w:rFonts w:ascii="Arial" w:hAnsi="Arial" w:eastAsia="Arial" w:cs="Arial"/>
      <w:sz w:val="40"/>
      <w:szCs w:val="40"/>
    </w:rPr>
  </w:style>
  <w:style w:type="character" w:styleId="788">
    <w:name w:val="Heading 2 Char"/>
    <w:basedOn w:val="957"/>
    <w:link w:val="949"/>
    <w:uiPriority w:val="9"/>
    <w:rPr>
      <w:rFonts w:ascii="Arial" w:hAnsi="Arial" w:eastAsia="Arial" w:cs="Arial"/>
      <w:sz w:val="34"/>
    </w:rPr>
  </w:style>
  <w:style w:type="character" w:styleId="789">
    <w:name w:val="Heading 3 Char"/>
    <w:basedOn w:val="957"/>
    <w:link w:val="950"/>
    <w:uiPriority w:val="9"/>
    <w:rPr>
      <w:rFonts w:ascii="Arial" w:hAnsi="Arial" w:eastAsia="Arial" w:cs="Arial"/>
      <w:sz w:val="30"/>
      <w:szCs w:val="30"/>
    </w:rPr>
  </w:style>
  <w:style w:type="character" w:styleId="790">
    <w:name w:val="Heading 4 Char"/>
    <w:basedOn w:val="957"/>
    <w:link w:val="951"/>
    <w:uiPriority w:val="9"/>
    <w:rPr>
      <w:rFonts w:ascii="Arial" w:hAnsi="Arial" w:eastAsia="Arial" w:cs="Arial"/>
      <w:b/>
      <w:bCs/>
      <w:sz w:val="26"/>
      <w:szCs w:val="26"/>
    </w:rPr>
  </w:style>
  <w:style w:type="character" w:styleId="791">
    <w:name w:val="Heading 5 Char"/>
    <w:basedOn w:val="957"/>
    <w:link w:val="952"/>
    <w:uiPriority w:val="9"/>
    <w:rPr>
      <w:rFonts w:ascii="Arial" w:hAnsi="Arial" w:eastAsia="Arial" w:cs="Arial"/>
      <w:b/>
      <w:bCs/>
      <w:sz w:val="24"/>
      <w:szCs w:val="24"/>
    </w:rPr>
  </w:style>
  <w:style w:type="character" w:styleId="792">
    <w:name w:val="Heading 6 Char"/>
    <w:basedOn w:val="957"/>
    <w:link w:val="953"/>
    <w:uiPriority w:val="9"/>
    <w:rPr>
      <w:rFonts w:ascii="Arial" w:hAnsi="Arial" w:eastAsia="Arial" w:cs="Arial"/>
      <w:b/>
      <w:bCs/>
      <w:sz w:val="22"/>
      <w:szCs w:val="22"/>
    </w:rPr>
  </w:style>
  <w:style w:type="character" w:styleId="793">
    <w:name w:val="Heading 7 Char"/>
    <w:basedOn w:val="957"/>
    <w:link w:val="954"/>
    <w:uiPriority w:val="9"/>
    <w:rPr>
      <w:rFonts w:ascii="Arial" w:hAnsi="Arial" w:eastAsia="Arial" w:cs="Arial"/>
      <w:b/>
      <w:bCs/>
      <w:i/>
      <w:iCs/>
      <w:sz w:val="22"/>
      <w:szCs w:val="22"/>
    </w:rPr>
  </w:style>
  <w:style w:type="character" w:styleId="794">
    <w:name w:val="Heading 8 Char"/>
    <w:basedOn w:val="957"/>
    <w:link w:val="955"/>
    <w:uiPriority w:val="9"/>
    <w:rPr>
      <w:rFonts w:ascii="Arial" w:hAnsi="Arial" w:eastAsia="Arial" w:cs="Arial"/>
      <w:i/>
      <w:iCs/>
      <w:sz w:val="22"/>
      <w:szCs w:val="22"/>
    </w:rPr>
  </w:style>
  <w:style w:type="character" w:styleId="795">
    <w:name w:val="Heading 9 Char"/>
    <w:basedOn w:val="957"/>
    <w:link w:val="956"/>
    <w:uiPriority w:val="9"/>
    <w:rPr>
      <w:rFonts w:ascii="Arial" w:hAnsi="Arial" w:eastAsia="Arial" w:cs="Arial"/>
      <w:i/>
      <w:iCs/>
      <w:sz w:val="21"/>
      <w:szCs w:val="21"/>
    </w:rPr>
  </w:style>
  <w:style w:type="paragraph" w:styleId="796">
    <w:name w:val="List Paragraph"/>
    <w:basedOn w:val="947"/>
    <w:uiPriority w:val="34"/>
    <w:qFormat/>
    <w:pPr>
      <w:contextualSpacing/>
      <w:ind w:left="720"/>
    </w:pPr>
  </w:style>
  <w:style w:type="character" w:styleId="797">
    <w:name w:val="Title Char"/>
    <w:basedOn w:val="957"/>
    <w:link w:val="979"/>
    <w:uiPriority w:val="10"/>
    <w:rPr>
      <w:sz w:val="48"/>
      <w:szCs w:val="48"/>
    </w:rPr>
  </w:style>
  <w:style w:type="character" w:styleId="798">
    <w:name w:val="Subtitle Char"/>
    <w:basedOn w:val="957"/>
    <w:link w:val="974"/>
    <w:uiPriority w:val="11"/>
    <w:rPr>
      <w:sz w:val="24"/>
      <w:szCs w:val="24"/>
    </w:rPr>
  </w:style>
  <w:style w:type="paragraph" w:styleId="799">
    <w:name w:val="Quote"/>
    <w:basedOn w:val="947"/>
    <w:next w:val="947"/>
    <w:link w:val="800"/>
    <w:uiPriority w:val="29"/>
    <w:qFormat/>
    <w:pPr>
      <w:ind w:left="720" w:right="720"/>
    </w:pPr>
    <w:rPr>
      <w:i/>
    </w:rPr>
  </w:style>
  <w:style w:type="character" w:styleId="800">
    <w:name w:val="Quote Char"/>
    <w:link w:val="799"/>
    <w:uiPriority w:val="29"/>
    <w:rPr>
      <w:i/>
    </w:rPr>
  </w:style>
  <w:style w:type="paragraph" w:styleId="801">
    <w:name w:val="Intense Quote"/>
    <w:basedOn w:val="947"/>
    <w:next w:val="947"/>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link w:val="801"/>
    <w:uiPriority w:val="30"/>
    <w:rPr>
      <w:i/>
    </w:rPr>
  </w:style>
  <w:style w:type="character" w:styleId="803">
    <w:name w:val="Header Char"/>
    <w:basedOn w:val="957"/>
    <w:link w:val="971"/>
    <w:uiPriority w:val="99"/>
  </w:style>
  <w:style w:type="character" w:styleId="804">
    <w:name w:val="Footer Char"/>
    <w:basedOn w:val="957"/>
    <w:link w:val="969"/>
    <w:uiPriority w:val="99"/>
  </w:style>
  <w:style w:type="paragraph" w:styleId="805">
    <w:name w:val="Caption"/>
    <w:basedOn w:val="947"/>
    <w:next w:val="947"/>
    <w:uiPriority w:val="35"/>
    <w:semiHidden/>
    <w:unhideWhenUsed/>
    <w:qFormat/>
    <w:pPr>
      <w:spacing w:line="276" w:lineRule="auto"/>
    </w:pPr>
    <w:rPr>
      <w:b/>
      <w:bCs/>
      <w:color w:val="4f81bd" w:themeColor="accent1"/>
      <w:sz w:val="18"/>
      <w:szCs w:val="18"/>
    </w:rPr>
  </w:style>
  <w:style w:type="character" w:styleId="806">
    <w:name w:val="Caption Char"/>
    <w:basedOn w:val="805"/>
    <w:link w:val="969"/>
    <w:uiPriority w:val="99"/>
  </w:style>
  <w:style w:type="table" w:styleId="807">
    <w:name w:val="Table Grid Light"/>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8">
    <w:name w:val="Plain Table 1"/>
    <w:basedOn w:val="9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2"/>
    <w:basedOn w:val="9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name w:val="Plain Table 3"/>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name w:val="Plain Table 4"/>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name w:val="Plain Table 5"/>
    <w:basedOn w:val="9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3">
    <w:name w:val="Grid Table 1 Light"/>
    <w:basedOn w:val="9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4">
    <w:name w:val="Grid Table 1 Light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5">
    <w:name w:val="Grid Table 1 Light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6">
    <w:name w:val="Grid Table 1 Light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7">
    <w:name w:val="Grid Table 1 Light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8">
    <w:name w:val="Grid Table 1 Light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9">
    <w:name w:val="Grid Table 1 Light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0">
    <w:name w:val="Grid Table 2"/>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2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2">
    <w:name w:val="Grid Table 2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2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2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2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6">
    <w:name w:val="Grid Table 2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7">
    <w:name w:val="Grid Table 3"/>
    <w:basedOn w:val="9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1"/>
    <w:basedOn w:val="9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2"/>
    <w:basedOn w:val="9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3"/>
    <w:basedOn w:val="9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4"/>
    <w:basedOn w:val="9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5"/>
    <w:basedOn w:val="9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6"/>
    <w:basedOn w:val="9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4"/>
    <w:basedOn w:val="9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name w:val="Grid Table 4 - Accent 1"/>
    <w:basedOn w:val="9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6">
    <w:name w:val="Grid Table 4 - Accent 2"/>
    <w:basedOn w:val="9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7">
    <w:name w:val="Grid Table 4 - Accent 3"/>
    <w:basedOn w:val="9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8">
    <w:name w:val="Grid Table 4 - Accent 4"/>
    <w:basedOn w:val="9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9">
    <w:name w:val="Grid Table 4 - Accent 5"/>
    <w:basedOn w:val="9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0">
    <w:name w:val="Grid Table 4 - Accent 6"/>
    <w:basedOn w:val="9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1">
    <w:name w:val="Grid Table 5 Dark"/>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2">
    <w:name w:val="Grid Table 5 Dark- Accent 1"/>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3">
    <w:name w:val="Grid Table 5 Dark - Accent 2"/>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4">
    <w:name w:val="Grid Table 5 Dark - Accent 3"/>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5">
    <w:name w:val="Grid Table 5 Dark- Accent 4"/>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6">
    <w:name w:val="Grid Table 5 Dark - Accent 5"/>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7">
    <w:name w:val="Grid Table 5 Dark - Accent 6"/>
    <w:basedOn w:val="9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8">
    <w:name w:val="Grid Table 6 Colorful"/>
    <w:basedOn w:val="9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9">
    <w:name w:val="Grid Table 6 Colorful - Accent 1"/>
    <w:basedOn w:val="9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0">
    <w:name w:val="Grid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1">
    <w:name w:val="Grid Table 6 Colorful - Accent 3"/>
    <w:basedOn w:val="9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2">
    <w:name w:val="Grid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3">
    <w:name w:val="Grid Table 6 Colorful - Accent 5"/>
    <w:basedOn w:val="9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6 Colorful - Accent 6"/>
    <w:basedOn w:val="9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5">
    <w:name w:val="Grid Table 7 Colorful"/>
    <w:basedOn w:val="9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Grid Table 7 Colorful - Accent 1"/>
    <w:basedOn w:val="9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7">
    <w:name w:val="Grid Table 7 Colorful - Accent 2"/>
    <w:basedOn w:val="9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8">
    <w:name w:val="Grid Table 7 Colorful - Accent 3"/>
    <w:basedOn w:val="9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9">
    <w:name w:val="Grid Table 7 Colorful - Accent 4"/>
    <w:basedOn w:val="9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0">
    <w:name w:val="Grid Table 7 Colorful - Accent 5"/>
    <w:basedOn w:val="9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1">
    <w:name w:val="Grid Table 7 Colorful - Accent 6"/>
    <w:basedOn w:val="9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2">
    <w:name w:val="List Table 1 Light"/>
    <w:basedOn w:val="9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name w:val="List Table 1 Light - Accent 1"/>
    <w:basedOn w:val="95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4">
    <w:name w:val="List Table 1 Light - Accent 2"/>
    <w:basedOn w:val="95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5">
    <w:name w:val="List Table 1 Light - Accent 3"/>
    <w:basedOn w:val="95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6">
    <w:name w:val="List Table 1 Light - Accent 4"/>
    <w:basedOn w:val="95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7">
    <w:name w:val="List Table 1 Light - Accent 5"/>
    <w:basedOn w:val="95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8">
    <w:name w:val="List Table 1 Light - Accent 6"/>
    <w:basedOn w:val="95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9">
    <w:name w:val="List Table 2"/>
    <w:basedOn w:val="9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0">
    <w:name w:val="List Table 2 - Accent 1"/>
    <w:basedOn w:val="9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1">
    <w:name w:val="List Table 2 - Accent 2"/>
    <w:basedOn w:val="9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2">
    <w:name w:val="List Table 2 - Accent 3"/>
    <w:basedOn w:val="9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3">
    <w:name w:val="List Table 2 - Accent 4"/>
    <w:basedOn w:val="9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4">
    <w:name w:val="List Table 2 - Accent 5"/>
    <w:basedOn w:val="9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5">
    <w:name w:val="List Table 2 - Accent 6"/>
    <w:basedOn w:val="9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6">
    <w:name w:val="List Table 3"/>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7">
    <w:name w:val="List Table 3 - Accent 1"/>
    <w:basedOn w:val="9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8">
    <w:name w:val="List Table 3 - Accent 2"/>
    <w:basedOn w:val="9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9">
    <w:name w:val="List Table 3 - Accent 3"/>
    <w:basedOn w:val="9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0">
    <w:name w:val="List Table 3 - Accent 4"/>
    <w:basedOn w:val="9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1">
    <w:name w:val="List Table 3 - Accent 5"/>
    <w:basedOn w:val="9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2">
    <w:name w:val="List Table 3 - Accent 6"/>
    <w:basedOn w:val="9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3">
    <w:name w:val="List Table 4"/>
    <w:basedOn w:val="9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4 - Accent 1"/>
    <w:basedOn w:val="9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4 - Accent 2"/>
    <w:basedOn w:val="9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6">
    <w:name w:val="List Table 4 - Accent 3"/>
    <w:basedOn w:val="9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7">
    <w:name w:val="List Table 4 - Accent 4"/>
    <w:basedOn w:val="9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8">
    <w:name w:val="List Table 4 - Accent 5"/>
    <w:basedOn w:val="9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9">
    <w:name w:val="List Table 4 - Accent 6"/>
    <w:basedOn w:val="9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0">
    <w:name w:val="List Table 5 Dark"/>
    <w:basedOn w:val="9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1"/>
    <w:basedOn w:val="9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2"/>
    <w:basedOn w:val="9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3"/>
    <w:basedOn w:val="9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4"/>
    <w:basedOn w:val="9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5"/>
    <w:basedOn w:val="9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6"/>
    <w:basedOn w:val="9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6 Colorful"/>
    <w:basedOn w:val="9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8">
    <w:name w:val="List Table 6 Colorful - Accent 1"/>
    <w:basedOn w:val="9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9">
    <w:name w:val="List Table 6 Colorful - Accent 2"/>
    <w:basedOn w:val="9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0">
    <w:name w:val="List Table 6 Colorful - Accent 3"/>
    <w:basedOn w:val="9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1">
    <w:name w:val="List Table 6 Colorful - Accent 4"/>
    <w:basedOn w:val="9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2">
    <w:name w:val="List Table 6 Colorful - Accent 5"/>
    <w:basedOn w:val="9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3">
    <w:name w:val="List Table 6 Colorful - Accent 6"/>
    <w:basedOn w:val="9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4">
    <w:name w:val="List Table 7 Colorful"/>
    <w:basedOn w:val="9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5">
    <w:name w:val="List Table 7 Colorful - Accent 1"/>
    <w:basedOn w:val="9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6">
    <w:name w:val="List Table 7 Colorful - Accent 2"/>
    <w:basedOn w:val="9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7">
    <w:name w:val="List Table 7 Colorful - Accent 3"/>
    <w:basedOn w:val="9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8">
    <w:name w:val="List Table 7 Colorful - Accent 4"/>
    <w:basedOn w:val="9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9">
    <w:name w:val="List Table 7 Colorful - Accent 5"/>
    <w:basedOn w:val="9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0">
    <w:name w:val="List Table 7 Colorful - Accent 6"/>
    <w:basedOn w:val="9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1">
    <w:name w:val="Lined - Accent"/>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2">
    <w:name w:val="Lined - Accent 1"/>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3">
    <w:name w:val="Lined - Accent 2"/>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4">
    <w:name w:val="Lined - Accent 3"/>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5">
    <w:name w:val="Lined - Accent 4"/>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6">
    <w:name w:val="Lined - Accent 5"/>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7">
    <w:name w:val="Lined - Accent 6"/>
    <w:basedOn w:val="9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8">
    <w:name w:val="Bordered &amp; Lined - Accent"/>
    <w:basedOn w:val="9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Bordered &amp; Lined - Accent 1"/>
    <w:basedOn w:val="9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Bordered &amp; Lined - Accent 2"/>
    <w:basedOn w:val="9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Bordered &amp; Lined - Accent 3"/>
    <w:basedOn w:val="9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Bordered &amp; Lined - Accent 4"/>
    <w:basedOn w:val="9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Bordered &amp; Lined - Accent 5"/>
    <w:basedOn w:val="9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Bordered &amp; Lined - Accent 6"/>
    <w:basedOn w:val="9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w:basedOn w:val="9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6">
    <w:name w:val="Bordered - Accent 1"/>
    <w:basedOn w:val="9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7">
    <w:name w:val="Bordered - Accent 2"/>
    <w:basedOn w:val="9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8">
    <w:name w:val="Bordered - Accent 3"/>
    <w:basedOn w:val="9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9">
    <w:name w:val="Bordered - Accent 4"/>
    <w:basedOn w:val="9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0">
    <w:name w:val="Bordered - Accent 5"/>
    <w:basedOn w:val="9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1">
    <w:name w:val="Bordered - Accent 6"/>
    <w:basedOn w:val="9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2">
    <w:name w:val="footnote text"/>
    <w:basedOn w:val="947"/>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basedOn w:val="957"/>
    <w:uiPriority w:val="99"/>
    <w:unhideWhenUsed/>
    <w:rPr>
      <w:vertAlign w:val="superscript"/>
    </w:rPr>
  </w:style>
  <w:style w:type="paragraph" w:styleId="935">
    <w:name w:val="endnote text"/>
    <w:basedOn w:val="947"/>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basedOn w:val="957"/>
    <w:uiPriority w:val="99"/>
    <w:semiHidden/>
    <w:unhideWhenUsed/>
    <w:rPr>
      <w:vertAlign w:val="superscript"/>
    </w:rPr>
  </w:style>
  <w:style w:type="paragraph" w:styleId="938">
    <w:name w:val="toc 2"/>
    <w:basedOn w:val="947"/>
    <w:next w:val="947"/>
    <w:uiPriority w:val="39"/>
    <w:unhideWhenUsed/>
    <w:pPr>
      <w:ind w:left="283" w:right="0" w:firstLine="0"/>
      <w:spacing w:after="57"/>
    </w:pPr>
  </w:style>
  <w:style w:type="paragraph" w:styleId="939">
    <w:name w:val="toc 3"/>
    <w:basedOn w:val="947"/>
    <w:next w:val="947"/>
    <w:uiPriority w:val="39"/>
    <w:unhideWhenUsed/>
    <w:pPr>
      <w:ind w:left="567" w:right="0" w:firstLine="0"/>
      <w:spacing w:after="57"/>
    </w:pPr>
  </w:style>
  <w:style w:type="paragraph" w:styleId="940">
    <w:name w:val="toc 5"/>
    <w:basedOn w:val="947"/>
    <w:next w:val="947"/>
    <w:uiPriority w:val="39"/>
    <w:unhideWhenUsed/>
    <w:pPr>
      <w:ind w:left="1134" w:right="0" w:firstLine="0"/>
      <w:spacing w:after="57"/>
    </w:pPr>
  </w:style>
  <w:style w:type="paragraph" w:styleId="941">
    <w:name w:val="toc 6"/>
    <w:basedOn w:val="947"/>
    <w:next w:val="947"/>
    <w:uiPriority w:val="39"/>
    <w:unhideWhenUsed/>
    <w:pPr>
      <w:ind w:left="1417" w:right="0" w:firstLine="0"/>
      <w:spacing w:after="57"/>
    </w:pPr>
  </w:style>
  <w:style w:type="paragraph" w:styleId="942">
    <w:name w:val="toc 7"/>
    <w:basedOn w:val="947"/>
    <w:next w:val="947"/>
    <w:uiPriority w:val="39"/>
    <w:unhideWhenUsed/>
    <w:pPr>
      <w:ind w:left="1701" w:right="0" w:firstLine="0"/>
      <w:spacing w:after="57"/>
    </w:pPr>
  </w:style>
  <w:style w:type="paragraph" w:styleId="943">
    <w:name w:val="toc 8"/>
    <w:basedOn w:val="947"/>
    <w:next w:val="947"/>
    <w:uiPriority w:val="39"/>
    <w:unhideWhenUsed/>
    <w:pPr>
      <w:ind w:left="1984" w:right="0" w:firstLine="0"/>
      <w:spacing w:after="57"/>
    </w:pPr>
  </w:style>
  <w:style w:type="paragraph" w:styleId="944">
    <w:name w:val="toc 9"/>
    <w:basedOn w:val="947"/>
    <w:next w:val="947"/>
    <w:uiPriority w:val="39"/>
    <w:unhideWhenUsed/>
    <w:pPr>
      <w:ind w:left="2268" w:right="0" w:firstLine="0"/>
      <w:spacing w:after="57"/>
    </w:pPr>
  </w:style>
  <w:style w:type="paragraph" w:styleId="945">
    <w:name w:val="TOC Heading"/>
    <w:uiPriority w:val="39"/>
    <w:unhideWhenUsed/>
  </w:style>
  <w:style w:type="paragraph" w:styleId="946">
    <w:name w:val="table of figures"/>
    <w:basedOn w:val="947"/>
    <w:next w:val="947"/>
    <w:uiPriority w:val="99"/>
    <w:unhideWhenUsed/>
    <w:pPr>
      <w:spacing w:after="0" w:afterAutospacing="0"/>
    </w:pPr>
  </w:style>
  <w:style w:type="paragraph" w:styleId="947" w:default="1">
    <w:name w:val="Normal"/>
    <w:uiPriority w:val="0"/>
    <w:qFormat/>
    <w:rPr>
      <w:rFonts w:ascii="Times New Roman" w:hAnsi="Times New Roman" w:eastAsia="宋体" w:cs="Times New Roman"/>
      <w:sz w:val="24"/>
      <w:szCs w:val="24"/>
      <w:lang w:val="en-US" w:eastAsia="zh-CN" w:bidi="ar-SA"/>
    </w:rPr>
  </w:style>
  <w:style w:type="paragraph" w:styleId="948">
    <w:name w:val="Heading 1"/>
    <w:basedOn w:val="947"/>
    <w:next w:val="947"/>
    <w:link w:val="990"/>
    <w:uiPriority w:val="0"/>
    <w:qFormat/>
    <w:pPr>
      <w:numPr>
        <w:ilvl w:val="0"/>
        <w:numId w:val="1"/>
      </w:numPr>
      <w:jc w:val="both"/>
      <w:keepLines/>
      <w:keepNext/>
      <w:spacing w:line="576" w:lineRule="auto"/>
      <w:widowControl w:val="off"/>
      <w:outlineLvl w:val="0"/>
    </w:pPr>
    <w:rPr>
      <w:rFonts w:eastAsia="楷体_GB2312"/>
      <w:b/>
      <w:sz w:val="44"/>
      <w:szCs w:val="20"/>
    </w:rPr>
  </w:style>
  <w:style w:type="paragraph" w:styleId="949">
    <w:name w:val="Heading 2"/>
    <w:basedOn w:val="947"/>
    <w:next w:val="947"/>
    <w:link w:val="991"/>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950">
    <w:name w:val="Heading 3"/>
    <w:basedOn w:val="947"/>
    <w:next w:val="947"/>
    <w:uiPriority w:val="0"/>
    <w:qFormat/>
    <w:pPr>
      <w:numPr>
        <w:ilvl w:val="2"/>
        <w:numId w:val="1"/>
      </w:numPr>
      <w:keepLines/>
      <w:keepNext/>
      <w:spacing w:before="260" w:after="260" w:line="416" w:lineRule="auto"/>
      <w:outlineLvl w:val="2"/>
    </w:pPr>
    <w:rPr>
      <w:b/>
      <w:bCs/>
      <w:sz w:val="32"/>
      <w:szCs w:val="32"/>
    </w:rPr>
  </w:style>
  <w:style w:type="paragraph" w:styleId="951">
    <w:name w:val="Heading 4"/>
    <w:basedOn w:val="947"/>
    <w:next w:val="959"/>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952">
    <w:name w:val="Heading 5"/>
    <w:basedOn w:val="947"/>
    <w:next w:val="947"/>
    <w:uiPriority w:val="0"/>
    <w:qFormat/>
    <w:pPr>
      <w:numPr>
        <w:ilvl w:val="4"/>
        <w:numId w:val="1"/>
      </w:numPr>
      <w:keepLines/>
      <w:keepNext/>
      <w:spacing w:before="280" w:after="290" w:line="376" w:lineRule="auto"/>
      <w:outlineLvl w:val="4"/>
    </w:pPr>
    <w:rPr>
      <w:b/>
      <w:bCs/>
      <w:sz w:val="28"/>
      <w:szCs w:val="28"/>
    </w:rPr>
  </w:style>
  <w:style w:type="paragraph" w:styleId="953">
    <w:name w:val="Heading 6"/>
    <w:basedOn w:val="947"/>
    <w:next w:val="947"/>
    <w:uiPriority w:val="0"/>
    <w:qFormat/>
    <w:pPr>
      <w:numPr>
        <w:ilvl w:val="5"/>
        <w:numId w:val="1"/>
      </w:numPr>
      <w:keepLines/>
      <w:keepNext/>
      <w:spacing w:before="240" w:after="64" w:line="320" w:lineRule="auto"/>
      <w:outlineLvl w:val="5"/>
    </w:pPr>
    <w:rPr>
      <w:rFonts w:ascii="Arial" w:hAnsi="Arial" w:eastAsia="黑体"/>
      <w:b/>
      <w:bCs/>
    </w:rPr>
  </w:style>
  <w:style w:type="paragraph" w:styleId="954">
    <w:name w:val="Heading 7"/>
    <w:basedOn w:val="947"/>
    <w:next w:val="947"/>
    <w:uiPriority w:val="0"/>
    <w:qFormat/>
    <w:pPr>
      <w:numPr>
        <w:ilvl w:val="6"/>
        <w:numId w:val="1"/>
      </w:numPr>
      <w:jc w:val="center"/>
      <w:keepLines/>
      <w:keepNext/>
      <w:outlineLvl w:val="6"/>
    </w:pPr>
    <w:rPr>
      <w:rFonts w:eastAsia="黑体"/>
      <w:lang w:val="zh-CN"/>
    </w:rPr>
  </w:style>
  <w:style w:type="paragraph" w:styleId="955">
    <w:name w:val="Heading 8"/>
    <w:basedOn w:val="954"/>
    <w:next w:val="947"/>
    <w:uiPriority w:val="0"/>
    <w:qFormat/>
    <w:pPr>
      <w:numPr>
        <w:ilvl w:val="7"/>
      </w:numPr>
      <w:keepLines w:val="0"/>
      <w:keepNext w:val="0"/>
      <w:outlineLvl w:val="7"/>
    </w:pPr>
  </w:style>
  <w:style w:type="paragraph" w:styleId="956">
    <w:name w:val="Heading 9"/>
    <w:basedOn w:val="947"/>
    <w:next w:val="947"/>
    <w:uiPriority w:val="0"/>
    <w:qFormat/>
    <w:pPr>
      <w:numPr>
        <w:ilvl w:val="8"/>
        <w:numId w:val="1"/>
      </w:numPr>
      <w:keepLines/>
      <w:keepNext/>
      <w:spacing w:line="317" w:lineRule="auto"/>
      <w:outlineLvl w:val="8"/>
    </w:pPr>
    <w:rPr>
      <w:rFonts w:ascii="Arial" w:hAnsi="Arial" w:eastAsia="黑体"/>
      <w:sz w:val="21"/>
    </w:rPr>
  </w:style>
  <w:style w:type="character" w:styleId="957" w:default="1">
    <w:name w:val="Default Paragraph Font"/>
    <w:uiPriority w:val="1"/>
    <w:semiHidden/>
    <w:unhideWhenUsed/>
    <w:qFormat/>
  </w:style>
  <w:style w:type="table" w:styleId="958" w:default="1">
    <w:name w:val="Normal Table"/>
    <w:uiPriority w:val="99"/>
    <w:semiHidden/>
    <w:unhideWhenUsed/>
    <w:qFormat/>
    <w:tblPr>
      <w:tblCellMar>
        <w:left w:w="108" w:type="dxa"/>
        <w:top w:w="0" w:type="dxa"/>
        <w:right w:w="108" w:type="dxa"/>
        <w:bottom w:w="0" w:type="dxa"/>
      </w:tblCellMar>
    </w:tblPr>
  </w:style>
  <w:style w:type="paragraph" w:styleId="959">
    <w:name w:val="Normal Indent"/>
    <w:basedOn w:val="947"/>
    <w:uiPriority w:val="0"/>
    <w:qFormat/>
    <w:pPr>
      <w:ind w:firstLine="420"/>
      <w:widowControl w:val="off"/>
    </w:pPr>
    <w:rPr>
      <w:rFonts w:eastAsia="楷体_GB2312"/>
      <w:szCs w:val="20"/>
    </w:rPr>
  </w:style>
  <w:style w:type="paragraph" w:styleId="960">
    <w:name w:val="Document Map"/>
    <w:basedOn w:val="947"/>
    <w:link w:val="992"/>
    <w:uiPriority w:val="0"/>
    <w:qFormat/>
    <w:pPr>
      <w:shd w:val="clear" w:color="auto" w:fill="000080"/>
    </w:pPr>
  </w:style>
  <w:style w:type="paragraph" w:styleId="961">
    <w:name w:val="annotation text"/>
    <w:basedOn w:val="947"/>
    <w:uiPriority w:val="0"/>
    <w:qFormat/>
  </w:style>
  <w:style w:type="paragraph" w:styleId="962">
    <w:name w:val="Body Text"/>
    <w:basedOn w:val="947"/>
    <w:uiPriority w:val="0"/>
    <w:qFormat/>
  </w:style>
  <w:style w:type="paragraph" w:styleId="963">
    <w:name w:val="Body Text Indent"/>
    <w:basedOn w:val="947"/>
    <w:uiPriority w:val="0"/>
    <w:qFormat/>
    <w:pPr>
      <w:ind w:right="-159" w:firstLine="246"/>
      <w:jc w:val="both"/>
      <w:spacing w:line="240" w:lineRule="atLeast"/>
      <w:widowControl w:val="off"/>
    </w:pPr>
    <w:rPr>
      <w:spacing w:val="20"/>
      <w:sz w:val="21"/>
    </w:rPr>
  </w:style>
  <w:style w:type="paragraph" w:styleId="964">
    <w:name w:val="Block Text"/>
    <w:basedOn w:val="947"/>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65">
    <w:name w:val="Plain Text"/>
    <w:basedOn w:val="947"/>
    <w:link w:val="993"/>
    <w:uiPriority w:val="0"/>
    <w:qFormat/>
    <w:rPr>
      <w:rFonts w:ascii="宋体" w:hAnsi="Courier New" w:eastAsia="楷体_GB2312"/>
      <w:sz w:val="26"/>
      <w:szCs w:val="20"/>
    </w:rPr>
  </w:style>
  <w:style w:type="paragraph" w:styleId="966">
    <w:name w:val="Date"/>
    <w:basedOn w:val="947"/>
    <w:next w:val="947"/>
    <w:link w:val="994"/>
    <w:uiPriority w:val="0"/>
    <w:qFormat/>
    <w:pPr>
      <w:ind w:left="100"/>
      <w:jc w:val="both"/>
      <w:widowControl w:val="off"/>
    </w:pPr>
    <w:rPr>
      <w:b/>
      <w:bCs/>
      <w:spacing w:val="20"/>
      <w:sz w:val="21"/>
    </w:rPr>
  </w:style>
  <w:style w:type="paragraph" w:styleId="967">
    <w:name w:val="Body Text Indent 2"/>
    <w:basedOn w:val="947"/>
    <w:uiPriority w:val="0"/>
    <w:qFormat/>
    <w:pPr>
      <w:ind w:firstLine="460"/>
      <w:spacing w:line="360" w:lineRule="auto"/>
    </w:pPr>
    <w:rPr>
      <w:spacing w:val="20"/>
      <w:sz w:val="21"/>
    </w:rPr>
  </w:style>
  <w:style w:type="paragraph" w:styleId="968">
    <w:name w:val="Balloon Text"/>
    <w:basedOn w:val="947"/>
    <w:uiPriority w:val="0"/>
    <w:qFormat/>
    <w:rPr>
      <w:sz w:val="18"/>
      <w:szCs w:val="18"/>
    </w:rPr>
  </w:style>
  <w:style w:type="paragraph" w:styleId="969">
    <w:name w:val="Footer"/>
    <w:basedOn w:val="947"/>
    <w:link w:val="995"/>
    <w:uiPriority w:val="99"/>
    <w:qFormat/>
    <w:pPr>
      <w:widowControl w:val="off"/>
      <w:tabs>
        <w:tab w:val="center" w:pos="4153" w:leader="none"/>
        <w:tab w:val="right" w:pos="8306" w:leader="none"/>
      </w:tabs>
    </w:pPr>
    <w:rPr>
      <w:sz w:val="18"/>
      <w:szCs w:val="18"/>
    </w:rPr>
  </w:style>
  <w:style w:type="paragraph" w:styleId="970">
    <w:name w:val="envelope return"/>
    <w:basedOn w:val="947"/>
    <w:uiPriority w:val="99"/>
    <w:unhideWhenUsed/>
    <w:qFormat/>
    <w:rPr>
      <w:rFonts w:ascii="Arial" w:hAnsi="Arial"/>
    </w:rPr>
  </w:style>
  <w:style w:type="paragraph" w:styleId="971">
    <w:name w:val="Header"/>
    <w:basedOn w:val="947"/>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72">
    <w:name w:val="toc 1"/>
    <w:basedOn w:val="947"/>
    <w:next w:val="947"/>
    <w:uiPriority w:val="0"/>
    <w:qFormat/>
    <w:pPr>
      <w:widowControl w:val="off"/>
    </w:pPr>
    <w:rPr>
      <w:rFonts w:eastAsia="楷体_GB2312"/>
      <w:szCs w:val="20"/>
    </w:rPr>
  </w:style>
  <w:style w:type="paragraph" w:styleId="973">
    <w:name w:val="toc 4"/>
    <w:basedOn w:val="947"/>
    <w:next w:val="947"/>
    <w:uiPriority w:val="39"/>
    <w:unhideWhenUsed/>
    <w:qFormat/>
    <w:pPr>
      <w:ind w:left="1260"/>
    </w:pPr>
  </w:style>
  <w:style w:type="paragraph" w:styleId="974">
    <w:name w:val="Subtitle"/>
    <w:basedOn w:val="947"/>
    <w:next w:val="947"/>
    <w:uiPriority w:val="0"/>
    <w:qFormat/>
    <w:pPr>
      <w:jc w:val="center"/>
      <w:spacing w:before="240" w:after="60" w:line="312" w:lineRule="auto"/>
      <w:outlineLvl w:val="1"/>
    </w:pPr>
    <w:rPr>
      <w:rFonts w:ascii="宋体" w:hAnsi="Courier New" w:eastAsia="楷体_GB2312"/>
      <w:sz w:val="26"/>
      <w:szCs w:val="20"/>
    </w:rPr>
  </w:style>
  <w:style w:type="paragraph" w:styleId="975">
    <w:name w:val="Body Text Indent 3"/>
    <w:basedOn w:val="947"/>
    <w:link w:val="996"/>
    <w:uiPriority w:val="0"/>
    <w:qFormat/>
    <w:pPr>
      <w:ind w:firstLine="480"/>
      <w:spacing w:line="300" w:lineRule="auto"/>
      <w:widowControl w:val="off"/>
    </w:pPr>
  </w:style>
  <w:style w:type="paragraph" w:styleId="976">
    <w:name w:val="Body Text 2"/>
    <w:basedOn w:val="947"/>
    <w:uiPriority w:val="0"/>
    <w:qFormat/>
    <w:pPr>
      <w:spacing w:line="480" w:lineRule="auto"/>
    </w:pPr>
  </w:style>
  <w:style w:type="paragraph" w:styleId="977">
    <w:name w:val="HTML Preformatted"/>
    <w:basedOn w:val="947"/>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978">
    <w:name w:val="Normal (Web)"/>
    <w:basedOn w:val="947"/>
    <w:uiPriority w:val="0"/>
    <w:qFormat/>
    <w:pPr>
      <w:spacing w:beforeAutospacing="1" w:afterAutospacing="1"/>
    </w:pPr>
    <w:rPr>
      <w:rFonts w:ascii="宋体" w:hAnsi="宋体" w:cs="宋体"/>
    </w:rPr>
  </w:style>
  <w:style w:type="paragraph" w:styleId="979">
    <w:name w:val="Title"/>
    <w:basedOn w:val="947"/>
    <w:next w:val="947"/>
    <w:link w:val="997"/>
    <w:uiPriority w:val="0"/>
    <w:qFormat/>
    <w:pPr>
      <w:jc w:val="center"/>
      <w:spacing w:before="240" w:after="60"/>
      <w:outlineLvl w:val="0"/>
    </w:pPr>
    <w:rPr>
      <w:rFonts w:ascii="Cambria" w:hAnsi="Cambria"/>
      <w:b/>
      <w:bCs/>
      <w:sz w:val="32"/>
      <w:szCs w:val="32"/>
    </w:rPr>
  </w:style>
  <w:style w:type="paragraph" w:styleId="980">
    <w:name w:val="annotation subject"/>
    <w:basedOn w:val="961"/>
    <w:next w:val="961"/>
    <w:uiPriority w:val="0"/>
    <w:qFormat/>
    <w:rPr>
      <w:b/>
      <w:bCs/>
    </w:rPr>
  </w:style>
  <w:style w:type="paragraph" w:styleId="981">
    <w:name w:val="Body Text First Indent"/>
    <w:basedOn w:val="962"/>
    <w:uiPriority w:val="0"/>
    <w:qFormat/>
    <w:pPr>
      <w:ind w:firstLine="420"/>
      <w:tabs>
        <w:tab w:val="left" w:pos="5250" w:leader="none"/>
      </w:tabs>
    </w:pPr>
  </w:style>
  <w:style w:type="paragraph" w:styleId="982">
    <w:name w:val="Body Text First Indent 2"/>
    <w:basedOn w:val="963"/>
    <w:uiPriority w:val="99"/>
    <w:qFormat/>
    <w:pPr>
      <w:ind w:firstLine="420"/>
    </w:pPr>
  </w:style>
  <w:style w:type="table" w:styleId="983">
    <w:name w:val="Table Grid"/>
    <w:basedOn w:val="95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84">
    <w:name w:val="Strong"/>
    <w:uiPriority w:val="0"/>
    <w:qFormat/>
    <w:rPr>
      <w:b/>
      <w:bCs/>
    </w:rPr>
  </w:style>
  <w:style w:type="character" w:styleId="985">
    <w:name w:val="page number"/>
    <w:uiPriority w:val="0"/>
    <w:qFormat/>
  </w:style>
  <w:style w:type="character" w:styleId="986">
    <w:name w:val="FollowedHyperlink"/>
    <w:uiPriority w:val="0"/>
    <w:qFormat/>
    <w:rPr>
      <w:color w:val="333333"/>
      <w:u w:val="none"/>
    </w:rPr>
  </w:style>
  <w:style w:type="character" w:styleId="987">
    <w:name w:val="Hyperlink"/>
    <w:uiPriority w:val="0"/>
    <w:qFormat/>
    <w:rPr>
      <w:color w:val="333333"/>
      <w:u w:val="none"/>
    </w:rPr>
  </w:style>
  <w:style w:type="character" w:styleId="988">
    <w:name w:val="annotation reference"/>
    <w:uiPriority w:val="0"/>
    <w:qFormat/>
    <w:rPr>
      <w:sz w:val="21"/>
      <w:szCs w:val="21"/>
    </w:rPr>
  </w:style>
  <w:style w:type="paragraph" w:styleId="989" w:customStyle="1">
    <w:name w:val="正文1"/>
    <w:basedOn w:val="947"/>
    <w:next w:val="947"/>
    <w:uiPriority w:val="0"/>
    <w:qFormat/>
    <w:pPr>
      <w:ind w:firstLine="540"/>
    </w:pPr>
    <w:rPr>
      <w:szCs w:val="20"/>
    </w:rPr>
  </w:style>
  <w:style w:type="character" w:styleId="990" w:customStyle="1">
    <w:name w:val="标题 1 Char"/>
    <w:link w:val="948"/>
    <w:uiPriority w:val="0"/>
    <w:qFormat/>
    <w:rPr>
      <w:rFonts w:eastAsia="楷体_GB2312"/>
      <w:b/>
      <w:sz w:val="44"/>
      <w:szCs w:val="20"/>
    </w:rPr>
  </w:style>
  <w:style w:type="character" w:styleId="991" w:customStyle="1">
    <w:name w:val="标题 2 Char"/>
    <w:basedOn w:val="957"/>
    <w:link w:val="949"/>
    <w:uiPriority w:val="9"/>
    <w:qFormat/>
    <w:rPr>
      <w:rFonts w:ascii="Cambria" w:hAnsi="Cambria" w:eastAsia="宋体" w:cs="Times New Roman"/>
      <w:b/>
      <w:bCs/>
      <w:sz w:val="32"/>
      <w:szCs w:val="32"/>
    </w:rPr>
  </w:style>
  <w:style w:type="character" w:styleId="992" w:customStyle="1">
    <w:name w:val="文档结构图 Char"/>
    <w:link w:val="960"/>
    <w:uiPriority w:val="0"/>
    <w:qFormat/>
    <w:rPr>
      <w:sz w:val="24"/>
      <w:szCs w:val="24"/>
      <w:shd w:val="clear" w:color="auto" w:fill="000080"/>
    </w:rPr>
  </w:style>
  <w:style w:type="character" w:styleId="993" w:customStyle="1">
    <w:name w:val="纯文本 Char"/>
    <w:link w:val="965"/>
    <w:uiPriority w:val="0"/>
    <w:qFormat/>
    <w:rPr>
      <w:rFonts w:ascii="宋体" w:hAnsi="Courier New" w:eastAsia="楷体_GB2312"/>
      <w:sz w:val="26"/>
    </w:rPr>
  </w:style>
  <w:style w:type="character" w:styleId="994" w:customStyle="1">
    <w:name w:val="日期 Char"/>
    <w:link w:val="966"/>
    <w:uiPriority w:val="0"/>
    <w:qFormat/>
    <w:rPr>
      <w:b/>
      <w:bCs/>
      <w:spacing w:val="20"/>
      <w:sz w:val="21"/>
      <w:szCs w:val="24"/>
    </w:rPr>
  </w:style>
  <w:style w:type="character" w:styleId="995" w:customStyle="1">
    <w:name w:val="页脚 Char"/>
    <w:link w:val="969"/>
    <w:uiPriority w:val="99"/>
    <w:qFormat/>
    <w:rPr>
      <w:sz w:val="18"/>
      <w:szCs w:val="18"/>
    </w:rPr>
  </w:style>
  <w:style w:type="character" w:styleId="996" w:customStyle="1">
    <w:name w:val="正文文本缩进 3 Char"/>
    <w:link w:val="975"/>
    <w:uiPriority w:val="0"/>
    <w:qFormat/>
    <w:rPr>
      <w:sz w:val="24"/>
      <w:szCs w:val="24"/>
    </w:rPr>
  </w:style>
  <w:style w:type="character" w:styleId="997" w:customStyle="1">
    <w:name w:val="标题 Char"/>
    <w:link w:val="979"/>
    <w:uiPriority w:val="0"/>
    <w:qFormat/>
    <w:rPr>
      <w:rFonts w:ascii="Cambria" w:hAnsi="Cambria" w:cs="Times New Roman"/>
      <w:b/>
      <w:bCs/>
      <w:sz w:val="32"/>
      <w:szCs w:val="32"/>
    </w:rPr>
  </w:style>
  <w:style w:type="character" w:styleId="998" w:customStyle="1">
    <w:name w:val="font31"/>
    <w:basedOn w:val="957"/>
    <w:uiPriority w:val="0"/>
    <w:qFormat/>
    <w:rPr>
      <w:rFonts w:hint="eastAsia" w:ascii="宋体" w:hAnsi="宋体" w:eastAsia="宋体" w:cs="宋体"/>
      <w:color w:val="000000"/>
      <w:sz w:val="21"/>
      <w:szCs w:val="21"/>
      <w:u w:val="none"/>
    </w:rPr>
  </w:style>
  <w:style w:type="character" w:styleId="999" w:customStyle="1">
    <w:name w:val="无"/>
    <w:uiPriority w:val="0"/>
    <w:qFormat/>
  </w:style>
  <w:style w:type="character" w:styleId="1000" w:customStyle="1">
    <w:name w:val="apple-converted-space"/>
    <w:uiPriority w:val="0"/>
    <w:qFormat/>
  </w:style>
  <w:style w:type="character" w:styleId="1001" w:customStyle="1">
    <w:name w:val="font21"/>
    <w:basedOn w:val="957"/>
    <w:uiPriority w:val="0"/>
    <w:qFormat/>
    <w:rPr>
      <w:rFonts w:hint="eastAsia" w:ascii="宋体" w:hAnsi="宋体" w:eastAsia="宋体" w:cs="宋体"/>
      <w:color w:val="000000"/>
      <w:sz w:val="24"/>
      <w:szCs w:val="24"/>
      <w:u w:val="none"/>
    </w:rPr>
  </w:style>
  <w:style w:type="character" w:styleId="1002" w:customStyle="1">
    <w:name w:val="NormalCharacter"/>
    <w:uiPriority w:val="0"/>
    <w:qFormat/>
  </w:style>
  <w:style w:type="character" w:styleId="1003" w:customStyle="1">
    <w:name w:val="font11"/>
    <w:uiPriority w:val="0"/>
    <w:qFormat/>
    <w:rPr>
      <w:rFonts w:hint="eastAsia" w:ascii="宋体" w:hAnsi="宋体" w:eastAsia="宋体" w:cs="宋体"/>
      <w:color w:val="000000"/>
      <w:sz w:val="24"/>
      <w:szCs w:val="24"/>
      <w:u w:val="none"/>
    </w:rPr>
  </w:style>
  <w:style w:type="character" w:styleId="1004" w:customStyle="1">
    <w:name w:val="font01"/>
    <w:uiPriority w:val="0"/>
    <w:qFormat/>
    <w:rPr>
      <w:rFonts w:hint="eastAsia" w:ascii="宋体" w:hAnsi="宋体" w:eastAsia="宋体" w:cs="宋体"/>
      <w:color w:val="000000"/>
      <w:sz w:val="24"/>
      <w:szCs w:val="24"/>
      <w:u w:val="none"/>
    </w:rPr>
  </w:style>
  <w:style w:type="character" w:styleId="1005" w:customStyle="1">
    <w:name w:val="font51"/>
    <w:basedOn w:val="957"/>
    <w:uiPriority w:val="0"/>
    <w:qFormat/>
    <w:rPr>
      <w:rFonts w:hint="eastAsia" w:ascii="宋体" w:hAnsi="宋体" w:eastAsia="宋体" w:cs="宋体"/>
      <w:color w:val="000000"/>
      <w:sz w:val="24"/>
      <w:szCs w:val="24"/>
      <w:u w:val="none"/>
    </w:rPr>
  </w:style>
  <w:style w:type="character" w:styleId="1006" w:customStyle="1">
    <w:name w:val="Plain Text Char"/>
    <w:link w:val="1007"/>
    <w:uiPriority w:val="0"/>
    <w:qFormat/>
    <w:rPr>
      <w:rFonts w:ascii="宋体" w:hAnsi="Courier New" w:eastAsia="楷体_GB2312"/>
      <w:sz w:val="26"/>
    </w:rPr>
  </w:style>
  <w:style w:type="paragraph" w:styleId="1007" w:customStyle="1">
    <w:name w:val="纯文本1"/>
    <w:basedOn w:val="947"/>
    <w:link w:val="1006"/>
    <w:uiPriority w:val="0"/>
    <w:qFormat/>
    <w:pPr>
      <w:jc w:val="both"/>
      <w:widowControl w:val="off"/>
    </w:pPr>
    <w:rPr>
      <w:rFonts w:ascii="宋体" w:hAnsi="Courier New" w:eastAsia="楷体_GB2312"/>
      <w:sz w:val="26"/>
      <w:szCs w:val="20"/>
    </w:rPr>
  </w:style>
  <w:style w:type="character" w:styleId="1008" w:customStyle="1">
    <w:name w:val="Andy_正文 Char"/>
    <w:link w:val="1009"/>
    <w:uiPriority w:val="0"/>
    <w:qFormat/>
    <w:rPr>
      <w:rFonts w:ascii="Calibri" w:hAnsi="Calibri"/>
      <w:sz w:val="24"/>
      <w:szCs w:val="24"/>
    </w:rPr>
  </w:style>
  <w:style w:type="paragraph" w:styleId="1009" w:customStyle="1">
    <w:name w:val="Andy_正文"/>
    <w:basedOn w:val="947"/>
    <w:link w:val="1008"/>
    <w:uiPriority w:val="0"/>
    <w:qFormat/>
    <w:pPr>
      <w:ind w:firstLine="480"/>
      <w:jc w:val="both"/>
      <w:spacing w:line="360" w:lineRule="auto"/>
      <w:widowControl w:val="off"/>
    </w:pPr>
    <w:rPr>
      <w:rFonts w:ascii="Calibri" w:hAnsi="Calibri"/>
    </w:rPr>
  </w:style>
  <w:style w:type="paragraph" w:styleId="1010" w:customStyle="1">
    <w:name w:val="H-TextFormat"/>
    <w:uiPriority w:val="0"/>
    <w:qFormat/>
    <w:rPr>
      <w:rFonts w:ascii="Arial" w:hAnsi="Arial" w:eastAsia="宋体" w:cs="Times New Roman"/>
      <w:sz w:val="22"/>
      <w:lang w:val="en-GB" w:eastAsia="en-US" w:bidi="ar-SA"/>
    </w:rPr>
  </w:style>
  <w:style w:type="paragraph" w:styleId="1011" w:customStyle="1">
    <w:name w:val="Char1"/>
    <w:basedOn w:val="947"/>
    <w:uiPriority w:val="0"/>
    <w:qFormat/>
    <w:pPr>
      <w:jc w:val="both"/>
      <w:widowControl w:val="off"/>
    </w:pPr>
    <w:rPr>
      <w:rFonts w:ascii="Tahoma" w:hAnsi="Tahoma"/>
      <w:szCs w:val="20"/>
    </w:rPr>
  </w:style>
  <w:style w:type="paragraph" w:styleId="1012" w:customStyle="1">
    <w:name w:val="_Style 12"/>
    <w:basedOn w:val="960"/>
    <w:uiPriority w:val="0"/>
    <w:qFormat/>
    <w:pPr>
      <w:spacing w:line="360" w:lineRule="auto"/>
    </w:pPr>
  </w:style>
  <w:style w:type="paragraph" w:styleId="1013" w:customStyle="1">
    <w:name w:val="Table Paragraph"/>
    <w:basedOn w:val="947"/>
    <w:uiPriority w:val="1"/>
    <w:qFormat/>
    <w:pPr>
      <w:widowControl w:val="off"/>
    </w:pPr>
    <w:rPr>
      <w:rFonts w:ascii="宋体" w:hAnsi="宋体" w:cs="宋体"/>
      <w:sz w:val="22"/>
      <w:szCs w:val="22"/>
      <w:lang w:val="zh-CN" w:bidi="zh-CN"/>
    </w:rPr>
  </w:style>
  <w:style w:type="paragraph" w:styleId="1014" w:customStyle="1">
    <w:name w:val="_Style 25"/>
    <w:basedOn w:val="947"/>
    <w:uiPriority w:val="0"/>
    <w:qFormat/>
    <w:pPr>
      <w:spacing w:after="160" w:line="240" w:lineRule="exact"/>
    </w:pPr>
    <w:rPr>
      <w:szCs w:val="20"/>
    </w:rPr>
  </w:style>
  <w:style w:type="paragraph" w:styleId="1015" w:customStyle="1">
    <w:name w:val="纯文本11"/>
    <w:basedOn w:val="947"/>
    <w:uiPriority w:val="0"/>
    <w:qFormat/>
    <w:pPr>
      <w:jc w:val="both"/>
      <w:widowControl w:val="off"/>
    </w:pPr>
    <w:rPr>
      <w:rFonts w:ascii="宋体" w:hAnsi="Courier New" w:eastAsia="楷体_GB2312"/>
      <w:sz w:val="28"/>
      <w:szCs w:val="20"/>
    </w:rPr>
  </w:style>
  <w:style w:type="paragraph" w:styleId="1016" w:customStyle="1">
    <w:name w:val="样式1"/>
    <w:basedOn w:val="947"/>
    <w:uiPriority w:val="0"/>
    <w:qFormat/>
    <w:pPr>
      <w:jc w:val="center"/>
    </w:pPr>
  </w:style>
  <w:style w:type="paragraph" w:styleId="1017"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18" w:customStyle="1">
    <w:name w:val="Char Char Char1 Char Char Char Char"/>
    <w:basedOn w:val="947"/>
    <w:uiPriority w:val="0"/>
    <w:qFormat/>
    <w:pPr>
      <w:spacing w:line="240" w:lineRule="exact"/>
    </w:pPr>
  </w:style>
  <w:style w:type="paragraph" w:styleId="1019" w:customStyle="1">
    <w:name w:val="表正文"/>
    <w:basedOn w:val="947"/>
    <w:next w:val="963"/>
    <w:uiPriority w:val="0"/>
    <w:qFormat/>
    <w:pPr>
      <w:ind w:left="420"/>
      <w:spacing w:after="120"/>
    </w:pPr>
    <w:rPr>
      <w:sz w:val="21"/>
    </w:rPr>
  </w:style>
  <w:style w:type="paragraph" w:styleId="1020" w:customStyle="1">
    <w:name w:val="Char Char Char Char Char Char Char Char Char Char"/>
    <w:basedOn w:val="947"/>
    <w:uiPriority w:val="0"/>
    <w:qFormat/>
    <w:pPr>
      <w:ind w:left="795" w:hanging="360"/>
      <w:jc w:val="both"/>
      <w:widowControl w:val="off"/>
      <w:tabs>
        <w:tab w:val="left" w:pos="795" w:leader="none"/>
      </w:tabs>
    </w:pPr>
  </w:style>
  <w:style w:type="paragraph" w:styleId="1021" w:customStyle="1">
    <w:name w:val="Char1 Char Char Char"/>
    <w:basedOn w:val="947"/>
    <w:uiPriority w:val="0"/>
    <w:qFormat/>
    <w:pPr>
      <w:jc w:val="both"/>
      <w:widowControl w:val="off"/>
    </w:pPr>
    <w:rPr>
      <w:sz w:val="21"/>
    </w:rPr>
  </w:style>
  <w:style w:type="paragraph" w:styleId="102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23">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024"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25" w:customStyle="1">
    <w:name w:val="Andy_2级"/>
    <w:basedOn w:val="947"/>
    <w:uiPriority w:val="0"/>
    <w:qFormat/>
    <w:pPr>
      <w:numPr>
        <w:ilvl w:val="1"/>
        <w:numId w:val="2"/>
      </w:numPr>
      <w:ind w:left="0" w:firstLine="510"/>
      <w:spacing w:line="360" w:lineRule="auto"/>
    </w:pPr>
    <w:rPr>
      <w:rFonts w:ascii="Calibri" w:hAnsi="Calibri"/>
      <w:szCs w:val="20"/>
    </w:rPr>
  </w:style>
  <w:style w:type="paragraph" w:styleId="1026" w:customStyle="1">
    <w:name w:val="p16"/>
    <w:basedOn w:val="947"/>
    <w:uiPriority w:val="0"/>
    <w:qFormat/>
    <w:rPr>
      <w:rFonts w:ascii="宋体" w:hAnsi="宋体" w:cs="宋体"/>
      <w:sz w:val="26"/>
      <w:szCs w:val="26"/>
    </w:rPr>
  </w:style>
  <w:style w:type="paragraph" w:styleId="1027" w:customStyle="1">
    <w:name w:val="纯文本3"/>
    <w:basedOn w:val="947"/>
    <w:uiPriority w:val="0"/>
    <w:qFormat/>
    <w:rPr>
      <w:rFonts w:ascii="宋体" w:hAnsi="Courier New"/>
      <w:sz w:val="26"/>
    </w:rPr>
  </w:style>
  <w:style w:type="paragraph" w:styleId="1028" w:customStyle="1">
    <w:name w:val="Char Char Char"/>
    <w:basedOn w:val="947"/>
    <w:uiPriority w:val="0"/>
    <w:qFormat/>
    <w:pPr>
      <w:ind w:left="795" w:hanging="360"/>
      <w:jc w:val="both"/>
      <w:widowControl w:val="off"/>
      <w:tabs>
        <w:tab w:val="left" w:pos="795" w:leader="none"/>
      </w:tabs>
    </w:pPr>
  </w:style>
  <w:style w:type="paragraph" w:styleId="1029" w:customStyle="1">
    <w:name w:val="样式2"/>
    <w:basedOn w:val="1016"/>
    <w:uiPriority w:val="0"/>
    <w:qFormat/>
    <w:rPr>
      <w:sz w:val="21"/>
    </w:rPr>
  </w:style>
  <w:style w:type="paragraph" w:styleId="1030" w:customStyle="1">
    <w:name w:val="f正文"/>
    <w:basedOn w:val="947"/>
    <w:uiPriority w:val="0"/>
    <w:qFormat/>
    <w:pPr>
      <w:ind w:firstLine="200"/>
    </w:pPr>
  </w:style>
  <w:style w:type="paragraph" w:styleId="1031" w:customStyle="1">
    <w:name w:val="_Style 3"/>
    <w:basedOn w:val="947"/>
    <w:uiPriority w:val="0"/>
    <w:qFormat/>
    <w:pPr>
      <w:ind w:left="795" w:hanging="360"/>
      <w:jc w:val="both"/>
      <w:widowControl w:val="off"/>
      <w:tabs>
        <w:tab w:val="left" w:pos="540" w:leader="none"/>
      </w:tabs>
    </w:pPr>
  </w:style>
  <w:style w:type="paragraph" w:styleId="1032" w:customStyle="1">
    <w:name w:val="Char Char Char Char Char Char Char Char Char1 Char"/>
    <w:basedOn w:val="960"/>
    <w:uiPriority w:val="0"/>
    <w:qFormat/>
    <w:pPr>
      <w:jc w:val="both"/>
      <w:spacing w:line="360" w:lineRule="auto"/>
      <w:widowControl w:val="off"/>
    </w:pPr>
    <w:rPr>
      <w:rFonts w:ascii="Tahoma" w:hAnsi="Tahoma"/>
    </w:rPr>
  </w:style>
  <w:style w:type="paragraph" w:styleId="1033" w:customStyle="1">
    <w:name w:val="纯文本5"/>
    <w:basedOn w:val="947"/>
    <w:uiPriority w:val="0"/>
    <w:qFormat/>
    <w:rPr>
      <w:rFonts w:ascii="宋体" w:hAnsi="Courier New" w:eastAsia="楷体_GB2312"/>
      <w:sz w:val="28"/>
      <w:szCs w:val="20"/>
    </w:rPr>
  </w:style>
  <w:style w:type="paragraph" w:styleId="1034" w:customStyle="1">
    <w:name w:val="p18"/>
    <w:basedOn w:val="947"/>
    <w:uiPriority w:val="0"/>
    <w:qFormat/>
    <w:pPr>
      <w:ind w:firstLine="420"/>
    </w:pPr>
  </w:style>
  <w:style w:type="paragraph" w:styleId="1035" w:customStyle="1">
    <w:name w:val="纯文本2"/>
    <w:basedOn w:val="947"/>
    <w:uiPriority w:val="0"/>
    <w:qFormat/>
    <w:rPr>
      <w:rFonts w:ascii="宋体" w:hAnsi="Courier New"/>
    </w:rPr>
  </w:style>
  <w:style w:type="paragraph" w:styleId="1036" w:customStyle="1">
    <w:name w:val="Char Char2"/>
    <w:basedOn w:val="960"/>
    <w:uiPriority w:val="0"/>
    <w:qFormat/>
    <w:pPr>
      <w:spacing w:line="360" w:lineRule="auto"/>
    </w:pPr>
  </w:style>
  <w:style w:type="paragraph" w:styleId="1037" w:customStyle="1">
    <w:name w:val="_Style 5"/>
    <w:basedOn w:val="947"/>
    <w:uiPriority w:val="0"/>
    <w:qFormat/>
    <w:pPr>
      <w:spacing w:after="160" w:line="240" w:lineRule="exact"/>
    </w:pPr>
    <w:rPr>
      <w:szCs w:val="20"/>
    </w:rPr>
  </w:style>
  <w:style w:type="paragraph" w:styleId="1038" w:customStyle="1">
    <w:name w:val="段"/>
    <w:next w:val="947"/>
    <w:uiPriority w:val="0"/>
    <w:qFormat/>
    <w:pPr>
      <w:ind w:firstLine="200"/>
      <w:jc w:val="both"/>
    </w:pPr>
    <w:rPr>
      <w:rFonts w:ascii="宋体" w:hAnsi="Times New Roman" w:eastAsia="宋体" w:cs="Times New Roman"/>
      <w:sz w:val="21"/>
      <w:szCs w:val="22"/>
      <w:lang w:val="en-US" w:eastAsia="zh-CN" w:bidi="ar-SA"/>
    </w:rPr>
  </w:style>
  <w:style w:type="paragraph" w:styleId="1039" w:customStyle="1">
    <w:name w:val="Char Char Char Char"/>
    <w:basedOn w:val="960"/>
    <w:uiPriority w:val="0"/>
    <w:qFormat/>
    <w:pPr>
      <w:jc w:val="both"/>
      <w:spacing w:line="360" w:lineRule="auto"/>
      <w:widowControl w:val="off"/>
    </w:pPr>
    <w:rPr>
      <w:szCs w:val="20"/>
    </w:rPr>
  </w:style>
  <w:style w:type="paragraph" w:styleId="1040" w:customStyle="1">
    <w:name w:val="p0"/>
    <w:basedOn w:val="947"/>
    <w:uiPriority w:val="0"/>
    <w:qFormat/>
  </w:style>
  <w:style w:type="paragraph" w:styleId="1041" w:customStyle="1">
    <w:name w:val="Char Char Char Char Char Char Char Char Char1 Char1"/>
    <w:basedOn w:val="960"/>
    <w:uiPriority w:val="0"/>
    <w:qFormat/>
    <w:pPr>
      <w:jc w:val="both"/>
      <w:spacing w:line="360" w:lineRule="auto"/>
      <w:widowControl w:val="off"/>
    </w:pPr>
    <w:rPr>
      <w:rFonts w:ascii="Tahoma" w:hAnsi="Tahoma"/>
    </w:rPr>
  </w:style>
  <w:style w:type="paragraph" w:styleId="1042" w:customStyle="1">
    <w:name w:val="列出段落1"/>
    <w:basedOn w:val="947"/>
    <w:uiPriority w:val="0"/>
    <w:qFormat/>
    <w:pPr>
      <w:ind w:firstLine="420"/>
    </w:pPr>
    <w:rPr>
      <w:rFonts w:ascii="Calibri" w:hAnsi="Calibri" w:cs="Calibri"/>
      <w:szCs w:val="22"/>
    </w:rPr>
  </w:style>
  <w:style w:type="paragraph" w:styleId="1043" w:customStyle="1">
    <w:name w:val="纯文本111"/>
    <w:basedOn w:val="947"/>
    <w:uiPriority w:val="0"/>
    <w:qFormat/>
    <w:rPr>
      <w:rFonts w:ascii="宋体" w:hAnsi="Courier New"/>
    </w:rPr>
  </w:style>
  <w:style w:type="paragraph" w:styleId="1044" w:customStyle="1">
    <w:name w:val="列出段落2"/>
    <w:basedOn w:val="947"/>
    <w:uiPriority w:val="0"/>
    <w:qFormat/>
    <w:pPr>
      <w:ind w:firstLine="420"/>
      <w:jc w:val="both"/>
      <w:widowControl w:val="off"/>
    </w:pPr>
    <w:rPr>
      <w:rFonts w:ascii="Calibri" w:hAnsi="Calibri"/>
      <w:sz w:val="21"/>
      <w:szCs w:val="22"/>
    </w:rPr>
  </w:style>
  <w:style w:type="paragraph" w:styleId="1045" w:customStyle="1">
    <w:name w:val="Char Char3"/>
    <w:basedOn w:val="947"/>
    <w:uiPriority w:val="0"/>
    <w:qFormat/>
    <w:pPr>
      <w:numPr>
        <w:ilvl w:val="0"/>
        <w:numId w:val="3"/>
      </w:numPr>
      <w:jc w:val="both"/>
      <w:widowControl w:val="off"/>
    </w:pPr>
  </w:style>
  <w:style w:type="paragraph" w:styleId="1046" w:customStyle="1">
    <w:name w:val="Char"/>
    <w:basedOn w:val="947"/>
    <w:uiPriority w:val="0"/>
    <w:qFormat/>
    <w:pPr>
      <w:jc w:val="both"/>
      <w:widowControl w:val="off"/>
    </w:pPr>
    <w:rPr>
      <w:rFonts w:ascii="Tahoma" w:hAnsi="Tahoma" w:cs="Tahoma"/>
    </w:rPr>
  </w:style>
  <w:style w:type="paragraph" w:styleId="1047" w:customStyle="1">
    <w:name w:val="01 章标"/>
    <w:basedOn w:val="947"/>
    <w:uiPriority w:val="0"/>
    <w:qFormat/>
    <w:pPr>
      <w:ind w:firstLine="883"/>
      <w:jc w:val="center"/>
      <w:outlineLvl w:val="0"/>
    </w:pPr>
    <w:rPr>
      <w:b/>
      <w:sz w:val="44"/>
      <w:szCs w:val="44"/>
    </w:rPr>
  </w:style>
  <w:style w:type="paragraph" w:styleId="1048" w:customStyle="1">
    <w:name w:val="首行缩进"/>
    <w:basedOn w:val="947"/>
    <w:uiPriority w:val="0"/>
    <w:qFormat/>
    <w:pPr>
      <w:ind w:firstLine="480"/>
    </w:pPr>
    <w:rPr>
      <w:rFonts w:eastAsia="楷体_GB2312"/>
      <w:sz w:val="26"/>
      <w:szCs w:val="20"/>
      <w:lang w:val="zh-CN"/>
    </w:rPr>
  </w:style>
  <w:style w:type="paragraph" w:styleId="1049" w:customStyle="1">
    <w:name w:val="Other|1"/>
    <w:basedOn w:val="947"/>
    <w:uiPriority w:val="0"/>
    <w:qFormat/>
    <w:pPr>
      <w:spacing w:line="306" w:lineRule="exact"/>
    </w:pPr>
    <w:rPr>
      <w:rFonts w:ascii="宋体" w:hAnsi="宋体" w:cs="宋体"/>
      <w:sz w:val="20"/>
      <w:szCs w:val="20"/>
      <w:lang w:val="zh-TW" w:eastAsia="zh-TW" w:bidi="zh-TW"/>
    </w:rPr>
  </w:style>
  <w:style w:type="paragraph" w:styleId="1050" w:customStyle="1">
    <w:name w:val="Plain Text1"/>
    <w:basedOn w:val="947"/>
    <w:uiPriority w:val="0"/>
    <w:qFormat/>
    <w:rPr>
      <w:rFonts w:hint="eastAsia" w:ascii="宋体" w:hAnsi="Courier New"/>
    </w:rPr>
  </w:style>
  <w:style w:type="paragraph" w:styleId="1051" w:customStyle="1">
    <w:name w:val="正文2"/>
    <w:basedOn w:val="947"/>
    <w:uiPriority w:val="0"/>
    <w:qFormat/>
    <w:pPr>
      <w:ind w:firstLine="200"/>
      <w:spacing w:line="360" w:lineRule="auto"/>
    </w:pPr>
    <w:rPr>
      <w:rFonts w:ascii="Verdana" w:hAnsi="Verdana" w:eastAsia="黑体"/>
      <w:sz w:val="21"/>
      <w:szCs w:val="20"/>
      <w:lang w:eastAsia="en-US"/>
    </w:rPr>
  </w:style>
  <w:style w:type="paragraph" w:styleId="1052" w:customStyle="1">
    <w:name w:val="图片格式"/>
    <w:basedOn w:val="947"/>
    <w:uiPriority w:val="0"/>
    <w:qFormat/>
    <w:pPr>
      <w:jc w:val="center"/>
      <w:tabs>
        <w:tab w:val="center" w:pos="4153" w:leader="none"/>
        <w:tab w:val="right" w:pos="8306" w:leader="none"/>
      </w:tabs>
    </w:pPr>
    <w:rPr>
      <w:rFonts w:cs="宋体"/>
      <w:szCs w:val="20"/>
    </w:rPr>
  </w:style>
  <w:style w:type="paragraph" w:styleId="1053" w:customStyle="1">
    <w:name w:val="p17"/>
    <w:basedOn w:val="947"/>
    <w:uiPriority w:val="0"/>
    <w:qFormat/>
    <w:pPr>
      <w:jc w:val="both"/>
    </w:pPr>
    <w:rPr>
      <w:rFonts w:ascii="宋体" w:hAnsi="宋体" w:cs="宋体"/>
      <w:sz w:val="26"/>
      <w:szCs w:val="26"/>
    </w:rPr>
  </w:style>
  <w:style w:type="paragraph" w:styleId="1054" w:customStyle="1">
    <w:name w:val="Char2"/>
    <w:basedOn w:val="960"/>
    <w:uiPriority w:val="0"/>
    <w:qFormat/>
    <w:pPr>
      <w:jc w:val="both"/>
      <w:spacing w:line="360" w:lineRule="auto"/>
      <w:widowControl w:val="off"/>
    </w:pPr>
    <w:rPr>
      <w:sz w:val="21"/>
    </w:rPr>
  </w:style>
  <w:style w:type="paragraph" w:styleId="1055" w:customStyle="1">
    <w:name w:val="无间隔1"/>
    <w:uiPriority w:val="1"/>
    <w:qFormat/>
    <w:rPr>
      <w:rFonts w:ascii="微软雅黑." w:hAnsi="微软雅黑." w:eastAsia="宋体" w:cs="Times New Roman"/>
      <w:sz w:val="22"/>
      <w:szCs w:val="22"/>
      <w:lang w:val="en-US" w:eastAsia="zh-CN" w:bidi="ar-SA"/>
    </w:rPr>
  </w:style>
  <w:style w:type="paragraph" w:styleId="1056" w:customStyle="1">
    <w:name w:val="方案正文"/>
    <w:basedOn w:val="947"/>
    <w:uiPriority w:val="0"/>
    <w:qFormat/>
    <w:pPr>
      <w:spacing w:line="440" w:lineRule="atLeast"/>
    </w:pPr>
  </w:style>
  <w:style w:type="paragraph" w:styleId="1057" w:customStyle="1">
    <w:name w:val="*正文"/>
    <w:basedOn w:val="947"/>
    <w:uiPriority w:val="0"/>
    <w:qFormat/>
    <w:rPr>
      <w:rFonts w:ascii="宋体" w:hAnsi="宋体"/>
      <w:lang w:val="zh-CN"/>
    </w:rPr>
  </w:style>
  <w:style w:type="paragraph" w:styleId="1058" w:customStyle="1">
    <w:name w:val="正文首行缩进 21"/>
    <w:basedOn w:val="963"/>
    <w:uiPriority w:val="99"/>
    <w:qFormat/>
    <w:pPr>
      <w:ind w:firstLine="420"/>
    </w:pPr>
  </w:style>
  <w:style w:type="paragraph" w:styleId="1059" w:customStyle="1">
    <w:name w:val="普通正文"/>
    <w:basedOn w:val="947"/>
    <w:uiPriority w:val="0"/>
    <w:qFormat/>
    <w:pPr>
      <w:ind w:firstLine="480"/>
      <w:spacing w:before="120" w:after="120" w:line="360" w:lineRule="auto"/>
    </w:pPr>
    <w:rPr>
      <w:rFonts w:ascii="Arial" w:hAnsi="Arial" w:cs="Arial"/>
    </w:rPr>
  </w:style>
  <w:style w:type="paragraph" w:styleId="1060" w:customStyle="1">
    <w:name w:val="_Style 7"/>
    <w:basedOn w:val="962"/>
    <w:next w:val="981"/>
    <w:uiPriority w:val="0"/>
    <w:qFormat/>
    <w:pPr>
      <w:ind w:firstLine="420"/>
    </w:pPr>
    <w:rPr>
      <w:rFonts w:ascii="Calibri" w:hAnsi="Calibri"/>
    </w:rPr>
  </w:style>
  <w:style w:type="paragraph" w:styleId="1061" w:customStyle="1">
    <w:name w:val="表格内容"/>
    <w:next w:val="947"/>
    <w:uiPriority w:val="0"/>
    <w:qFormat/>
    <w:pPr>
      <w:jc w:val="center"/>
    </w:pPr>
    <w:rPr>
      <w:rFonts w:ascii="Times New Roman" w:hAnsi="Times New Roman" w:eastAsia="宋体" w:cs="Times New Roman"/>
      <w:sz w:val="21"/>
      <w:szCs w:val="22"/>
      <w:lang w:val="en-US" w:eastAsia="zh-CN" w:bidi="ar-SA"/>
    </w:rPr>
  </w:style>
  <w:style w:type="paragraph" w:styleId="1062" w:customStyle="1">
    <w:name w:val="Table Text"/>
    <w:uiPriority w:val="0"/>
    <w:semiHidden/>
    <w:qFormat/>
    <w:rPr>
      <w:rFonts w:ascii="宋体" w:hAnsi="宋体" w:eastAsia="宋体" w:cs="宋体"/>
      <w:color w:val="000000"/>
      <w:sz w:val="18"/>
      <w:szCs w:val="18"/>
      <w:lang w:val="en-US" w:eastAsia="en-US" w:bidi="ar-SA"/>
    </w:rPr>
  </w:style>
  <w:style w:type="table" w:styleId="1063" w:customStyle="1">
    <w:name w:val="Table Normal"/>
    <w:uiPriority w:val="0"/>
    <w:semiHidden/>
    <w:unhideWhenUsed/>
    <w:qFormat/>
    <w:tblPr>
      <w:tblCellMar>
        <w:left w:w="0" w:type="dxa"/>
        <w:top w:w="0" w:type="dxa"/>
        <w:right w:w="0" w:type="dxa"/>
        <w:bottom w:w="0" w:type="dxa"/>
      </w:tblCellMar>
    </w:tblPr>
  </w:style>
  <w:style w:type="paragraph" w:styleId="1064" w:customStyle="1">
    <w:name w:val="正文文本缩进1"/>
    <w:next w:val="947"/>
    <w:uiPriority w:val="0"/>
    <w:qFormat/>
    <w:pPr>
      <w:ind w:firstLine="574"/>
      <w:jc w:val="both"/>
      <w:spacing w:line="312" w:lineRule="atLeast"/>
      <w:widowControl w:val="off"/>
    </w:pPr>
    <w:rPr>
      <w:rFonts w:ascii="宋体" w:hAnsi="Times New Roman" w:eastAsia="宋体" w:cs="Times New Roman"/>
      <w:sz w:val="28"/>
      <w:lang w:val="en-US" w:eastAsia="zh-CN" w:bidi="ar-SA"/>
    </w:rPr>
  </w:style>
  <w:style w:type="paragraph" w:styleId="1065" w:customStyle="1">
    <w:name w:val="批注文字1"/>
    <w:uiPriority w:val="0"/>
    <w:qFormat/>
    <w:pPr>
      <w:widowControl w:val="off"/>
    </w:pPr>
    <w:rPr>
      <w:rFonts w:ascii="Times New Roman" w:hAnsi="Times New Roman" w:eastAsia="宋体" w:cs="Times New Roman"/>
      <w:sz w:val="21"/>
      <w:lang w:val="en-US" w:eastAsia="zh-CN" w:bidi="ar-SA"/>
    </w:rPr>
  </w:style>
  <w:style w:type="numbering" w:styleId="10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17</cp:revision>
  <dcterms:created xsi:type="dcterms:W3CDTF">2020-10-19T23:57:00Z</dcterms:created>
  <dcterms:modified xsi:type="dcterms:W3CDTF">2026-05-11T05:16:49Z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CBE79F24520D478BB50687D3940DB4DC_13</vt:lpwstr>
  </property>
  <property fmtid="{D5CDD505-2E9C-101B-9397-08002B2CF9AE}" pid="4" name="KSOTemplateDocerSaveRecord">
    <vt:lpwstr>eyJoZGlkIjoiNWI1MzFhYjQwMzQ3OWQwYzYxMTRhZmIwOThhMjJmYjUiLCJ1c2VySWQiOiI1NTg4NTI5ODUifQ==</vt:lpwstr>
  </property>
</Properties>
</file>